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D1A0" w14:textId="5AEBF7D9" w:rsidR="00134BC8" w:rsidRPr="00331425" w:rsidRDefault="007A0930" w:rsidP="00331425">
      <w:pPr>
        <w:jc w:val="center"/>
        <w:rPr>
          <w:rFonts w:ascii="Calibri" w:eastAsia="Calibri" w:hAnsi="Calibri" w:cs="Calibri"/>
          <w:b/>
        </w:rPr>
      </w:pPr>
      <w:r w:rsidRPr="00643047">
        <w:rPr>
          <w:b/>
        </w:rPr>
        <w:t xml:space="preserve">Instructions on Using the </w:t>
      </w:r>
      <w:r w:rsidR="00331425">
        <w:rPr>
          <w:b/>
        </w:rPr>
        <w:t xml:space="preserve">2021 </w:t>
      </w:r>
      <w:r w:rsidRPr="00643047">
        <w:rPr>
          <w:b/>
        </w:rPr>
        <w:t>Housing &amp; Homelessness Public Charge Comment</w:t>
      </w:r>
      <w:r w:rsidR="4CD7732E" w:rsidRPr="00643047">
        <w:rPr>
          <w:b/>
        </w:rPr>
        <w:t xml:space="preserve"> Template</w:t>
      </w:r>
    </w:p>
    <w:p w14:paraId="1DB8B867" w14:textId="6C635A39" w:rsidR="38036C39" w:rsidRDefault="4CD7732E" w:rsidP="4CD7732E">
      <w:pPr>
        <w:rPr>
          <w:rFonts w:ascii="Calibri" w:eastAsia="Calibri" w:hAnsi="Calibri" w:cs="Calibri"/>
        </w:rPr>
      </w:pPr>
      <w:r w:rsidRPr="4CD7732E">
        <w:rPr>
          <w:rFonts w:ascii="Calibri" w:eastAsia="Calibri" w:hAnsi="Calibri" w:cs="Calibri"/>
        </w:rPr>
        <w:t>The material th</w:t>
      </w:r>
      <w:r w:rsidR="00722B02">
        <w:rPr>
          <w:rFonts w:ascii="Calibri" w:eastAsia="Calibri" w:hAnsi="Calibri" w:cs="Calibri"/>
        </w:rPr>
        <w:t>at follows is a template</w:t>
      </w:r>
      <w:r w:rsidR="00665288">
        <w:rPr>
          <w:rFonts w:ascii="Calibri" w:eastAsia="Calibri" w:hAnsi="Calibri" w:cs="Calibri"/>
        </w:rPr>
        <w:t xml:space="preserve"> comment letter</w:t>
      </w:r>
      <w:r w:rsidRPr="4CD7732E">
        <w:rPr>
          <w:rFonts w:ascii="Calibri" w:eastAsia="Calibri" w:hAnsi="Calibri" w:cs="Calibri"/>
        </w:rPr>
        <w:t xml:space="preserve"> that focuses </w:t>
      </w:r>
      <w:r w:rsidR="00FA57DC">
        <w:rPr>
          <w:rFonts w:ascii="Calibri" w:eastAsia="Calibri" w:hAnsi="Calibri" w:cs="Calibri"/>
        </w:rPr>
        <w:t>not including housing or homelessness assistance programs in</w:t>
      </w:r>
      <w:r w:rsidR="00331425">
        <w:rPr>
          <w:rFonts w:ascii="Calibri" w:eastAsia="Calibri" w:hAnsi="Calibri" w:cs="Calibri"/>
        </w:rPr>
        <w:t xml:space="preserve"> a public charge determination, in</w:t>
      </w:r>
      <w:r w:rsidR="00FA57DC">
        <w:rPr>
          <w:rFonts w:ascii="Calibri" w:eastAsia="Calibri" w:hAnsi="Calibri" w:cs="Calibri"/>
        </w:rPr>
        <w:t xml:space="preserve"> </w:t>
      </w:r>
      <w:r w:rsidR="00331425">
        <w:rPr>
          <w:rFonts w:ascii="Calibri" w:eastAsia="Calibri" w:hAnsi="Calibri" w:cs="Calibri"/>
        </w:rPr>
        <w:t xml:space="preserve">response to the Department of Homeland Security’s (DHS) Advance Notice of Proposed Rulemaking (ANPRM) regarding the </w:t>
      </w:r>
      <w:r w:rsidR="00FA57DC">
        <w:rPr>
          <w:rFonts w:ascii="Calibri" w:eastAsia="Calibri" w:hAnsi="Calibri" w:cs="Calibri"/>
        </w:rPr>
        <w:t>public charge rule</w:t>
      </w:r>
      <w:r w:rsidR="00665288">
        <w:rPr>
          <w:rFonts w:ascii="Calibri" w:eastAsia="Calibri" w:hAnsi="Calibri" w:cs="Calibri"/>
        </w:rPr>
        <w:t>.</w:t>
      </w:r>
      <w:r w:rsidR="00331425">
        <w:rPr>
          <w:rFonts w:ascii="Calibri" w:eastAsia="Calibri" w:hAnsi="Calibri" w:cs="Calibri"/>
        </w:rPr>
        <w:t xml:space="preserve"> DHS published the ANPRM to seek broad feedback on the public charge ground of inadmissibility that will inform its development of a future regulatory proposal.</w:t>
      </w:r>
      <w:r w:rsidR="00665288">
        <w:rPr>
          <w:rFonts w:ascii="Calibri" w:eastAsia="Calibri" w:hAnsi="Calibri" w:cs="Calibri"/>
        </w:rPr>
        <w:t xml:space="preserve"> </w:t>
      </w:r>
      <w:r w:rsidRPr="4CD7732E">
        <w:rPr>
          <w:rFonts w:ascii="Calibri" w:eastAsia="Calibri" w:hAnsi="Calibri" w:cs="Calibri"/>
        </w:rPr>
        <w:t>It is not intended to be wid</w:t>
      </w:r>
      <w:r w:rsidR="00665288">
        <w:rPr>
          <w:rFonts w:ascii="Calibri" w:eastAsia="Calibri" w:hAnsi="Calibri" w:cs="Calibri"/>
        </w:rPr>
        <w:t xml:space="preserve">ely distributed in this form. </w:t>
      </w:r>
      <w:r w:rsidRPr="4CD7732E">
        <w:rPr>
          <w:rFonts w:ascii="Calibri" w:eastAsia="Calibri" w:hAnsi="Calibri" w:cs="Calibri"/>
        </w:rPr>
        <w:t xml:space="preserve">Please do not share </w:t>
      </w:r>
      <w:r w:rsidR="0042235E">
        <w:rPr>
          <w:rFonts w:ascii="Calibri" w:eastAsia="Calibri" w:hAnsi="Calibri" w:cs="Calibri"/>
        </w:rPr>
        <w:t>this content</w:t>
      </w:r>
      <w:r w:rsidRPr="4CD7732E">
        <w:rPr>
          <w:rFonts w:ascii="Calibri" w:eastAsia="Calibri" w:hAnsi="Calibri" w:cs="Calibri"/>
        </w:rPr>
        <w:t xml:space="preserve"> over a mass email list or post </w:t>
      </w:r>
      <w:r w:rsidR="0042235E">
        <w:rPr>
          <w:rFonts w:ascii="Calibri" w:eastAsia="Calibri" w:hAnsi="Calibri" w:cs="Calibri"/>
        </w:rPr>
        <w:t>it</w:t>
      </w:r>
      <w:r w:rsidR="00665288">
        <w:rPr>
          <w:rFonts w:ascii="Calibri" w:eastAsia="Calibri" w:hAnsi="Calibri" w:cs="Calibri"/>
        </w:rPr>
        <w:t xml:space="preserve"> in a public location. </w:t>
      </w:r>
      <w:r w:rsidRPr="4CD7732E">
        <w:rPr>
          <w:rFonts w:ascii="Calibri" w:eastAsia="Calibri" w:hAnsi="Calibri" w:cs="Calibri"/>
        </w:rPr>
        <w:t>If you have questions about whether it can be shared with a partner organization, please contact us.</w:t>
      </w:r>
    </w:p>
    <w:p w14:paraId="51A2F21B" w14:textId="732EC7C7" w:rsidR="00FB3D03" w:rsidRPr="00643047" w:rsidRDefault="00FB3D03" w:rsidP="00FB3D03">
      <w:pPr>
        <w:spacing w:after="0"/>
        <w:rPr>
          <w:rFonts w:ascii="Calibri" w:eastAsia="Calibri" w:hAnsi="Calibri" w:cs="Calibri"/>
          <w:u w:val="single"/>
        </w:rPr>
      </w:pPr>
      <w:r w:rsidRPr="00643047">
        <w:rPr>
          <w:rFonts w:ascii="Calibri" w:eastAsia="Calibri" w:hAnsi="Calibri" w:cs="Calibri"/>
          <w:u w:val="single"/>
        </w:rPr>
        <w:t>How to Submit your Comments</w:t>
      </w:r>
    </w:p>
    <w:p w14:paraId="2613966A" w14:textId="45FE8489" w:rsidR="38036C39" w:rsidRDefault="0042235E" w:rsidP="00FB3D03">
      <w:pPr>
        <w:spacing w:after="0"/>
        <w:rPr>
          <w:rFonts w:ascii="Calibri" w:eastAsia="Calibri" w:hAnsi="Calibri" w:cs="Calibri"/>
        </w:rPr>
      </w:pPr>
      <w:r>
        <w:rPr>
          <w:rFonts w:ascii="Calibri" w:eastAsia="Calibri" w:hAnsi="Calibri" w:cs="Calibri"/>
        </w:rPr>
        <w:t>The template</w:t>
      </w:r>
      <w:r w:rsidR="4CD7732E" w:rsidRPr="4CD7732E">
        <w:rPr>
          <w:rFonts w:ascii="Calibri" w:eastAsia="Calibri" w:hAnsi="Calibri" w:cs="Calibri"/>
        </w:rPr>
        <w:t xml:space="preserve"> is designed to make it easy for your organization to generate your own comment letter to submit via </w:t>
      </w:r>
      <w:hyperlink r:id="rId8">
        <w:r w:rsidR="4CD7732E" w:rsidRPr="4CD7732E">
          <w:rPr>
            <w:rStyle w:val="Hyperlink"/>
            <w:rFonts w:ascii="Calibri" w:eastAsia="Calibri" w:hAnsi="Calibri" w:cs="Calibri"/>
            <w:color w:val="0070C0"/>
            <w:u w:val="none"/>
          </w:rPr>
          <w:t>regulations.gov.</w:t>
        </w:r>
      </w:hyperlink>
      <w:r w:rsidR="002C0E0A">
        <w:rPr>
          <w:rStyle w:val="FootnoteReference"/>
          <w:rFonts w:ascii="Calibri" w:eastAsia="Calibri" w:hAnsi="Calibri" w:cs="Calibri"/>
          <w:color w:val="0070C0"/>
        </w:rPr>
        <w:footnoteReference w:id="1"/>
      </w:r>
      <w:r w:rsidR="00665288">
        <w:rPr>
          <w:rFonts w:ascii="Calibri" w:eastAsia="Calibri" w:hAnsi="Calibri" w:cs="Calibri"/>
        </w:rPr>
        <w:t xml:space="preserve"> </w:t>
      </w:r>
      <w:r w:rsidR="4CD7732E" w:rsidRPr="4CD7732E">
        <w:rPr>
          <w:rFonts w:ascii="Calibri" w:eastAsia="Calibri" w:hAnsi="Calibri" w:cs="Calibri"/>
        </w:rPr>
        <w:t xml:space="preserve">Click on “comment now” and either enter your comment in the text box (must be fewer than 5000 characters) or upload your comments as a PDF. The deadline to submit your comments is </w:t>
      </w:r>
      <w:r w:rsidR="009A5D9E">
        <w:rPr>
          <w:rFonts w:ascii="Calibri" w:eastAsia="Calibri" w:hAnsi="Calibri" w:cs="Calibri"/>
          <w:b/>
        </w:rPr>
        <w:t>October</w:t>
      </w:r>
      <w:r w:rsidR="00DB5EE1">
        <w:rPr>
          <w:rFonts w:ascii="Calibri" w:eastAsia="Calibri" w:hAnsi="Calibri" w:cs="Calibri"/>
          <w:b/>
        </w:rPr>
        <w:t xml:space="preserve"> 22</w:t>
      </w:r>
      <w:r w:rsidR="4CD7732E" w:rsidRPr="00112823">
        <w:rPr>
          <w:rFonts w:ascii="Calibri" w:eastAsia="Calibri" w:hAnsi="Calibri" w:cs="Calibri"/>
          <w:b/>
        </w:rPr>
        <w:t>, 20</w:t>
      </w:r>
      <w:r w:rsidR="009A5D9E">
        <w:rPr>
          <w:rFonts w:ascii="Calibri" w:eastAsia="Calibri" w:hAnsi="Calibri" w:cs="Calibri"/>
          <w:b/>
        </w:rPr>
        <w:t>21</w:t>
      </w:r>
      <w:r w:rsidR="4CD7732E" w:rsidRPr="4CD7732E">
        <w:rPr>
          <w:rFonts w:ascii="Calibri" w:eastAsia="Calibri" w:hAnsi="Calibri" w:cs="Calibri"/>
        </w:rPr>
        <w:t xml:space="preserve">. </w:t>
      </w:r>
    </w:p>
    <w:p w14:paraId="3BD8F46C" w14:textId="77777777" w:rsidR="00FB3D03" w:rsidRDefault="00FB3D03" w:rsidP="00FB3D03">
      <w:pPr>
        <w:spacing w:after="0"/>
        <w:rPr>
          <w:rFonts w:ascii="Calibri" w:eastAsia="Calibri" w:hAnsi="Calibri" w:cs="Calibri"/>
        </w:rPr>
      </w:pPr>
    </w:p>
    <w:p w14:paraId="0D25B35F" w14:textId="7A5EF8B5" w:rsidR="00FB3D03" w:rsidRPr="00643047" w:rsidRDefault="00FB3D03" w:rsidP="00FB3D03">
      <w:pPr>
        <w:spacing w:after="0"/>
        <w:rPr>
          <w:rFonts w:ascii="Calibri" w:eastAsia="Calibri" w:hAnsi="Calibri" w:cs="Calibri"/>
          <w:u w:val="single"/>
        </w:rPr>
      </w:pPr>
      <w:r w:rsidRPr="00643047">
        <w:rPr>
          <w:rFonts w:ascii="Calibri" w:eastAsia="Calibri" w:hAnsi="Calibri" w:cs="Calibri"/>
          <w:u w:val="single"/>
        </w:rPr>
        <w:t>Include Your Own Original Content</w:t>
      </w:r>
    </w:p>
    <w:p w14:paraId="2878369C" w14:textId="4DEE1846" w:rsidR="00FB3D03" w:rsidRDefault="4CD7732E" w:rsidP="00FD666D">
      <w:pPr>
        <w:spacing w:after="0"/>
        <w:rPr>
          <w:rFonts w:ascii="Calibri" w:eastAsia="Calibri" w:hAnsi="Calibri" w:cs="Calibri"/>
        </w:rPr>
      </w:pPr>
      <w:r w:rsidRPr="4CD7732E">
        <w:rPr>
          <w:rFonts w:ascii="Calibri" w:eastAsia="Calibri" w:hAnsi="Calibri" w:cs="Calibri"/>
        </w:rPr>
        <w:t xml:space="preserve">The template includes content that we welcome you to use in your comments, as well as places to insert your own text, which we have highlighted in yellow. </w:t>
      </w:r>
      <w:r w:rsidR="00895CF8">
        <w:rPr>
          <w:rFonts w:ascii="Calibri" w:eastAsia="Calibri" w:hAnsi="Calibri" w:cs="Calibri"/>
        </w:rPr>
        <w:t>C</w:t>
      </w:r>
      <w:r w:rsidRPr="4CD7732E">
        <w:rPr>
          <w:rFonts w:ascii="Calibri" w:eastAsia="Calibri" w:hAnsi="Calibri" w:cs="Calibri"/>
        </w:rPr>
        <w:t xml:space="preserve">omments that share </w:t>
      </w:r>
      <w:r w:rsidR="00895CF8">
        <w:rPr>
          <w:rFonts w:ascii="Calibri" w:eastAsia="Calibri" w:hAnsi="Calibri" w:cs="Calibri"/>
        </w:rPr>
        <w:t xml:space="preserve">most </w:t>
      </w:r>
      <w:r w:rsidRPr="4CD7732E">
        <w:rPr>
          <w:rFonts w:ascii="Calibri" w:eastAsia="Calibri" w:hAnsi="Calibri" w:cs="Calibri"/>
        </w:rPr>
        <w:t>of the same content can be counted by the Department of Homeland Security as</w:t>
      </w:r>
      <w:r w:rsidR="00975FD1">
        <w:rPr>
          <w:rFonts w:ascii="Calibri" w:eastAsia="Calibri" w:hAnsi="Calibri" w:cs="Calibri"/>
        </w:rPr>
        <w:t xml:space="preserve"> a single comment. </w:t>
      </w:r>
      <w:r w:rsidR="00895CF8">
        <w:rPr>
          <w:rFonts w:ascii="Calibri" w:eastAsia="Calibri" w:hAnsi="Calibri" w:cs="Calibri"/>
        </w:rPr>
        <w:t>Therefore, y</w:t>
      </w:r>
      <w:r w:rsidR="00895CF8" w:rsidRPr="4CD7732E">
        <w:rPr>
          <w:rFonts w:ascii="Calibri" w:eastAsia="Calibri" w:hAnsi="Calibri" w:cs="Calibri"/>
        </w:rPr>
        <w:t xml:space="preserve">our comment letter will be most valuable if you ensure that </w:t>
      </w:r>
      <w:r w:rsidR="00895CF8" w:rsidRPr="0026288B">
        <w:rPr>
          <w:rFonts w:ascii="Calibri" w:eastAsia="Calibri" w:hAnsi="Calibri" w:cs="Calibri"/>
          <w:b/>
        </w:rPr>
        <w:t>at least 30% of your comment letter</w:t>
      </w:r>
      <w:r w:rsidR="00FE7392">
        <w:rPr>
          <w:rFonts w:ascii="Calibri" w:eastAsia="Calibri" w:hAnsi="Calibri" w:cs="Calibri"/>
        </w:rPr>
        <w:t xml:space="preserve"> </w:t>
      </w:r>
      <w:r w:rsidR="00895CF8" w:rsidRPr="4CD7732E">
        <w:rPr>
          <w:rFonts w:ascii="Calibri" w:eastAsia="Calibri" w:hAnsi="Calibri" w:cs="Calibri"/>
        </w:rPr>
        <w:t xml:space="preserve">consists of </w:t>
      </w:r>
      <w:r w:rsidR="00895CF8" w:rsidRPr="0026288B">
        <w:rPr>
          <w:rFonts w:ascii="Calibri" w:eastAsia="Calibri" w:hAnsi="Calibri" w:cs="Calibri"/>
          <w:b/>
        </w:rPr>
        <w:t>original content</w:t>
      </w:r>
      <w:r w:rsidR="00FE7392">
        <w:rPr>
          <w:rFonts w:ascii="Calibri" w:eastAsia="Calibri" w:hAnsi="Calibri" w:cs="Calibri"/>
          <w:b/>
        </w:rPr>
        <w:t xml:space="preserve"> (approximately 62</w:t>
      </w:r>
      <w:r w:rsidR="00F46811">
        <w:rPr>
          <w:rFonts w:ascii="Calibri" w:eastAsia="Calibri" w:hAnsi="Calibri" w:cs="Calibri"/>
          <w:b/>
        </w:rPr>
        <w:t>0</w:t>
      </w:r>
      <w:r w:rsidR="00FE7392">
        <w:rPr>
          <w:rFonts w:ascii="Calibri" w:eastAsia="Calibri" w:hAnsi="Calibri" w:cs="Calibri"/>
          <w:b/>
        </w:rPr>
        <w:t xml:space="preserve"> words)</w:t>
      </w:r>
      <w:r w:rsidR="00895CF8">
        <w:rPr>
          <w:rFonts w:ascii="Calibri" w:eastAsia="Calibri" w:hAnsi="Calibri" w:cs="Calibri"/>
          <w:b/>
        </w:rPr>
        <w:t>.</w:t>
      </w:r>
      <w:r w:rsidRPr="4CD7732E">
        <w:rPr>
          <w:rFonts w:ascii="Calibri" w:eastAsia="Calibri" w:hAnsi="Calibri" w:cs="Calibri"/>
        </w:rPr>
        <w:t xml:space="preserve"> </w:t>
      </w:r>
    </w:p>
    <w:p w14:paraId="644E74C8" w14:textId="77777777" w:rsidR="00FD666D" w:rsidRDefault="00FD666D" w:rsidP="00FD666D">
      <w:pPr>
        <w:spacing w:after="0"/>
        <w:rPr>
          <w:rFonts w:ascii="Calibri" w:eastAsia="Calibri" w:hAnsi="Calibri" w:cs="Calibri"/>
        </w:rPr>
      </w:pPr>
    </w:p>
    <w:p w14:paraId="513AA48B" w14:textId="167C606F" w:rsidR="00FB3D03" w:rsidRPr="00643047" w:rsidRDefault="003703EF" w:rsidP="00FB3D03">
      <w:pPr>
        <w:spacing w:after="0"/>
        <w:rPr>
          <w:rFonts w:ascii="Calibri" w:eastAsia="Calibri" w:hAnsi="Calibri" w:cs="Calibri"/>
          <w:u w:val="single"/>
        </w:rPr>
      </w:pPr>
      <w:r w:rsidRPr="00643047">
        <w:rPr>
          <w:rFonts w:ascii="Calibri" w:eastAsia="Calibri" w:hAnsi="Calibri" w:cs="Calibri"/>
          <w:u w:val="single"/>
        </w:rPr>
        <w:t>Questions</w:t>
      </w:r>
    </w:p>
    <w:p w14:paraId="6A6C8B4D" w14:textId="38343D7A" w:rsidR="38036C39" w:rsidRDefault="4CD7732E" w:rsidP="00FB3D03">
      <w:pPr>
        <w:spacing w:after="0"/>
        <w:rPr>
          <w:rFonts w:ascii="Calibri" w:eastAsia="Calibri" w:hAnsi="Calibri" w:cs="Calibri"/>
        </w:rPr>
      </w:pPr>
      <w:r w:rsidRPr="4CD7732E">
        <w:rPr>
          <w:rFonts w:ascii="Calibri" w:eastAsia="Calibri" w:hAnsi="Calibri" w:cs="Calibri"/>
        </w:rPr>
        <w:t>If you have additional questions, please email</w:t>
      </w:r>
      <w:r w:rsidR="009A5D9E">
        <w:rPr>
          <w:rFonts w:ascii="Calibri" w:eastAsia="Calibri" w:hAnsi="Calibri" w:cs="Calibri"/>
        </w:rPr>
        <w:t xml:space="preserve"> Kate Walz at </w:t>
      </w:r>
      <w:hyperlink r:id="rId9" w:history="1">
        <w:r w:rsidR="009A5D9E" w:rsidRPr="003640EA">
          <w:rPr>
            <w:rStyle w:val="Hyperlink"/>
            <w:rFonts w:ascii="Calibri" w:eastAsia="Calibri" w:hAnsi="Calibri" w:cs="Calibri"/>
          </w:rPr>
          <w:t>kwalz@nhlp.org</w:t>
        </w:r>
      </w:hyperlink>
      <w:r w:rsidR="009A5D9E">
        <w:rPr>
          <w:rFonts w:ascii="Calibri" w:eastAsia="Calibri" w:hAnsi="Calibri" w:cs="Calibri"/>
        </w:rPr>
        <w:t xml:space="preserve"> or Xavier</w:t>
      </w:r>
      <w:r w:rsidR="00CB3C3E">
        <w:rPr>
          <w:rFonts w:ascii="Calibri" w:eastAsia="Calibri" w:hAnsi="Calibri" w:cs="Calibri"/>
        </w:rPr>
        <w:t xml:space="preserve"> Arriaga</w:t>
      </w:r>
      <w:r w:rsidR="00D52D04">
        <w:rPr>
          <w:rFonts w:ascii="Calibri" w:eastAsia="Calibri" w:hAnsi="Calibri" w:cs="Calibri"/>
        </w:rPr>
        <w:t xml:space="preserve"> at </w:t>
      </w:r>
      <w:hyperlink r:id="rId10" w:history="1">
        <w:r w:rsidR="00D52D04" w:rsidRPr="00217B1C">
          <w:rPr>
            <w:rStyle w:val="Hyperlink"/>
            <w:rFonts w:ascii="Calibri" w:eastAsia="Calibri" w:hAnsi="Calibri" w:cs="Calibri"/>
          </w:rPr>
          <w:t>xarriaga@nlihc.org</w:t>
        </w:r>
      </w:hyperlink>
      <w:r w:rsidR="00D52D04">
        <w:rPr>
          <w:rFonts w:ascii="Calibri" w:eastAsia="Calibri" w:hAnsi="Calibri" w:cs="Calibri"/>
        </w:rPr>
        <w:t xml:space="preserve">. </w:t>
      </w:r>
    </w:p>
    <w:p w14:paraId="4BE3F69F" w14:textId="7032CA7D" w:rsidR="38036C39" w:rsidRPr="005C623E" w:rsidRDefault="38036C39" w:rsidP="4CD7732E">
      <w:r>
        <w:br w:type="page"/>
      </w:r>
    </w:p>
    <w:p w14:paraId="70D84464" w14:textId="65A69C41" w:rsidR="041A94DB" w:rsidRPr="00331425" w:rsidRDefault="4CD7732E" w:rsidP="4CD7732E">
      <w:pPr>
        <w:rPr>
          <w:rFonts w:ascii="Calibri" w:eastAsia="Calibri" w:hAnsi="Calibri" w:cs="Calibri"/>
          <w:highlight w:val="yellow"/>
        </w:rPr>
      </w:pPr>
      <w:r w:rsidRPr="4CD7732E">
        <w:rPr>
          <w:rFonts w:ascii="Calibri" w:eastAsia="Calibri" w:hAnsi="Calibri" w:cs="Calibri"/>
          <w:highlight w:val="yellow"/>
        </w:rPr>
        <w:lastRenderedPageBreak/>
        <w:t>[DATE]</w:t>
      </w:r>
    </w:p>
    <w:p w14:paraId="5B757E42" w14:textId="43C55BA7" w:rsidR="003C7DD3" w:rsidRPr="00331425" w:rsidRDefault="4CD7732E" w:rsidP="00331425">
      <w:pPr>
        <w:rPr>
          <w:rFonts w:ascii="Calibri" w:eastAsia="Calibri" w:hAnsi="Calibri" w:cs="Calibri"/>
          <w:i/>
          <w:iCs/>
          <w:color w:val="0563C1" w:themeColor="hyperlink"/>
        </w:rPr>
      </w:pPr>
      <w:r w:rsidRPr="4CD7732E">
        <w:rPr>
          <w:rFonts w:ascii="Calibri" w:eastAsia="Calibri" w:hAnsi="Calibri" w:cs="Calibri"/>
          <w:i/>
          <w:iCs/>
        </w:rPr>
        <w:t xml:space="preserve">Submitted via </w:t>
      </w:r>
      <w:r w:rsidRPr="4CD7732E">
        <w:rPr>
          <w:rStyle w:val="Hyperlink"/>
          <w:rFonts w:ascii="Calibri" w:eastAsia="Calibri" w:hAnsi="Calibri" w:cs="Calibri"/>
          <w:i/>
          <w:iCs/>
          <w:u w:val="none"/>
        </w:rPr>
        <w:t>www.regulations.gov</w:t>
      </w:r>
      <w:hyperlink/>
    </w:p>
    <w:p w14:paraId="45799619" w14:textId="77777777" w:rsidR="003C7DD3" w:rsidRPr="003C7DD3" w:rsidRDefault="003C7DD3" w:rsidP="003C7DD3">
      <w:pPr>
        <w:spacing w:after="0" w:line="240" w:lineRule="auto"/>
        <w:ind w:right="576"/>
        <w:rPr>
          <w:rFonts w:ascii="Times New Roman" w:eastAsia="Times New Roman" w:hAnsi="Times New Roman" w:cs="Times New Roman"/>
          <w:sz w:val="24"/>
          <w:szCs w:val="24"/>
        </w:rPr>
      </w:pPr>
      <w:r w:rsidRPr="003C7DD3">
        <w:rPr>
          <w:rFonts w:ascii="Calibri" w:eastAsia="Times New Roman" w:hAnsi="Calibri" w:cs="Calibri"/>
          <w:b/>
          <w:bCs/>
          <w:color w:val="000000"/>
        </w:rPr>
        <w:t>U.S. Citizenship and Immigration Services</w:t>
      </w:r>
    </w:p>
    <w:p w14:paraId="64801B0A" w14:textId="77777777" w:rsidR="003C7DD3" w:rsidRPr="003C7DD3" w:rsidRDefault="003C7DD3" w:rsidP="003C7DD3">
      <w:pPr>
        <w:spacing w:after="0" w:line="240" w:lineRule="auto"/>
        <w:ind w:right="576"/>
        <w:rPr>
          <w:rFonts w:ascii="Times New Roman" w:eastAsia="Times New Roman" w:hAnsi="Times New Roman" w:cs="Times New Roman"/>
          <w:sz w:val="24"/>
          <w:szCs w:val="24"/>
        </w:rPr>
      </w:pPr>
      <w:r w:rsidRPr="003C7DD3">
        <w:rPr>
          <w:rFonts w:ascii="Calibri" w:eastAsia="Times New Roman" w:hAnsi="Calibri" w:cs="Calibri"/>
          <w:b/>
          <w:bCs/>
          <w:color w:val="000000"/>
        </w:rPr>
        <w:t>Department of Homeland Security</w:t>
      </w:r>
    </w:p>
    <w:p w14:paraId="219A464C" w14:textId="77777777" w:rsidR="003C7DD3" w:rsidRPr="003C7DD3" w:rsidRDefault="003C7DD3" w:rsidP="003C7DD3">
      <w:pPr>
        <w:spacing w:after="0" w:line="240" w:lineRule="auto"/>
        <w:ind w:right="576"/>
        <w:rPr>
          <w:rFonts w:ascii="Times New Roman" w:eastAsia="Times New Roman" w:hAnsi="Times New Roman" w:cs="Times New Roman"/>
          <w:sz w:val="24"/>
          <w:szCs w:val="24"/>
        </w:rPr>
      </w:pPr>
      <w:r w:rsidRPr="003C7DD3">
        <w:rPr>
          <w:rFonts w:ascii="Calibri" w:eastAsia="Times New Roman" w:hAnsi="Calibri" w:cs="Calibri"/>
          <w:b/>
          <w:bCs/>
          <w:color w:val="000000"/>
        </w:rPr>
        <w:t>20 Massachusetts Avenue NW</w:t>
      </w:r>
    </w:p>
    <w:p w14:paraId="36878828" w14:textId="77777777" w:rsidR="003C7DD3" w:rsidRPr="003C7DD3" w:rsidRDefault="003C7DD3" w:rsidP="003C7DD3">
      <w:pPr>
        <w:spacing w:after="0" w:line="240" w:lineRule="auto"/>
        <w:ind w:right="576"/>
        <w:rPr>
          <w:rFonts w:ascii="Times New Roman" w:eastAsia="Times New Roman" w:hAnsi="Times New Roman" w:cs="Times New Roman"/>
          <w:sz w:val="24"/>
          <w:szCs w:val="24"/>
        </w:rPr>
      </w:pPr>
      <w:r w:rsidRPr="003C7DD3">
        <w:rPr>
          <w:rFonts w:ascii="Calibri" w:eastAsia="Times New Roman" w:hAnsi="Calibri" w:cs="Calibri"/>
          <w:b/>
          <w:bCs/>
          <w:color w:val="000000"/>
        </w:rPr>
        <w:t>Washington, DC 20529-2140</w:t>
      </w:r>
    </w:p>
    <w:p w14:paraId="0726DD59" w14:textId="77777777" w:rsidR="003C7DD3" w:rsidRPr="003C7DD3" w:rsidRDefault="003C7DD3" w:rsidP="003C7DD3">
      <w:pPr>
        <w:spacing w:after="0" w:line="240" w:lineRule="auto"/>
        <w:rPr>
          <w:rFonts w:ascii="Times New Roman" w:eastAsia="Times New Roman" w:hAnsi="Times New Roman" w:cs="Times New Roman"/>
          <w:sz w:val="24"/>
          <w:szCs w:val="24"/>
        </w:rPr>
      </w:pPr>
    </w:p>
    <w:p w14:paraId="0603AE16" w14:textId="3710F154" w:rsidR="041A94DB" w:rsidRDefault="003C7DD3" w:rsidP="00331425">
      <w:pPr>
        <w:spacing w:after="0" w:line="240" w:lineRule="auto"/>
        <w:ind w:right="576"/>
        <w:rPr>
          <w:rFonts w:ascii="Times New Roman" w:eastAsia="Times New Roman" w:hAnsi="Times New Roman" w:cs="Times New Roman"/>
          <w:sz w:val="24"/>
          <w:szCs w:val="24"/>
        </w:rPr>
      </w:pPr>
      <w:r w:rsidRPr="003C7DD3">
        <w:rPr>
          <w:rFonts w:ascii="Calibri" w:eastAsia="Times New Roman" w:hAnsi="Calibri" w:cs="Calibri"/>
          <w:color w:val="000000"/>
        </w:rPr>
        <w:t>Re: DHS- Docket No. USCIS-2021-0013; Comments on Public Charge Ground of Inadmissibility</w:t>
      </w:r>
    </w:p>
    <w:p w14:paraId="2006E2D5" w14:textId="77777777" w:rsidR="00331425" w:rsidRPr="00331425" w:rsidRDefault="00331425" w:rsidP="00331425">
      <w:pPr>
        <w:spacing w:after="0" w:line="240" w:lineRule="auto"/>
        <w:ind w:right="576"/>
        <w:rPr>
          <w:rFonts w:ascii="Times New Roman" w:eastAsia="Times New Roman" w:hAnsi="Times New Roman" w:cs="Times New Roman"/>
          <w:sz w:val="24"/>
          <w:szCs w:val="24"/>
        </w:rPr>
      </w:pPr>
    </w:p>
    <w:p w14:paraId="4256E3CE" w14:textId="2997D5EC" w:rsidR="041A94DB" w:rsidRDefault="4CD7732E" w:rsidP="00331425">
      <w:pPr>
        <w:spacing w:after="0" w:line="240" w:lineRule="auto"/>
        <w:rPr>
          <w:rFonts w:ascii="Calibri" w:eastAsia="Calibri" w:hAnsi="Calibri"/>
        </w:rPr>
      </w:pPr>
      <w:r w:rsidRPr="4CD7732E">
        <w:rPr>
          <w:rFonts w:ascii="Calibri" w:eastAsia="Calibri" w:hAnsi="Calibri" w:cs="Calibri"/>
        </w:rPr>
        <w:t xml:space="preserve">I am writing on behalf of </w:t>
      </w:r>
      <w:r w:rsidRPr="4CD7732E">
        <w:rPr>
          <w:rFonts w:ascii="Calibri" w:eastAsia="Calibri" w:hAnsi="Calibri" w:cs="Calibri"/>
          <w:highlight w:val="yellow"/>
        </w:rPr>
        <w:t>[</w:t>
      </w:r>
      <w:r w:rsidR="00A5592D">
        <w:rPr>
          <w:rFonts w:ascii="Calibri" w:eastAsia="Calibri" w:hAnsi="Calibri" w:cs="Calibri"/>
          <w:highlight w:val="yellow"/>
        </w:rPr>
        <w:t xml:space="preserve">your </w:t>
      </w:r>
      <w:r w:rsidRPr="4CD7732E">
        <w:rPr>
          <w:rFonts w:ascii="Calibri" w:eastAsia="Calibri" w:hAnsi="Calibri" w:cs="Calibri"/>
          <w:highlight w:val="yellow"/>
        </w:rPr>
        <w:t>organization</w:t>
      </w:r>
      <w:r w:rsidR="00134BC8">
        <w:rPr>
          <w:rFonts w:ascii="Calibri" w:eastAsia="Calibri" w:hAnsi="Calibri" w:cs="Calibri"/>
          <w:highlight w:val="yellow"/>
        </w:rPr>
        <w:t>’s/agency’s</w:t>
      </w:r>
      <w:r w:rsidRPr="4CD7732E">
        <w:rPr>
          <w:rFonts w:ascii="Calibri" w:eastAsia="Calibri" w:hAnsi="Calibri" w:cs="Calibri"/>
          <w:highlight w:val="yellow"/>
        </w:rPr>
        <w:t xml:space="preserve"> name]</w:t>
      </w:r>
      <w:r w:rsidRPr="4CD7732E">
        <w:rPr>
          <w:rFonts w:ascii="Calibri" w:eastAsia="Calibri" w:hAnsi="Calibri" w:cs="Calibri"/>
        </w:rPr>
        <w:t xml:space="preserve"> in response to the Department of Homeland Security’s (DHS) </w:t>
      </w:r>
      <w:r w:rsidR="009A5D9E">
        <w:rPr>
          <w:rFonts w:ascii="Calibri" w:eastAsia="Calibri" w:hAnsi="Calibri" w:cs="Calibri"/>
        </w:rPr>
        <w:t xml:space="preserve">Advance </w:t>
      </w:r>
      <w:r w:rsidRPr="4CD7732E">
        <w:rPr>
          <w:rFonts w:ascii="Calibri" w:eastAsia="Calibri" w:hAnsi="Calibri" w:cs="Calibri"/>
        </w:rPr>
        <w:t>Notice of Proposed Rulemaking</w:t>
      </w:r>
      <w:r w:rsidR="00DB5EE1">
        <w:rPr>
          <w:rFonts w:ascii="Calibri" w:eastAsia="Calibri" w:hAnsi="Calibri" w:cs="Calibri"/>
        </w:rPr>
        <w:t xml:space="preserve"> (ANPRM)</w:t>
      </w:r>
      <w:r w:rsidR="009A5D9E">
        <w:rPr>
          <w:rFonts w:ascii="Calibri" w:eastAsia="Calibri" w:hAnsi="Calibri" w:cs="Calibri"/>
        </w:rPr>
        <w:t>,</w:t>
      </w:r>
      <w:r w:rsidRPr="4CD7732E">
        <w:rPr>
          <w:rFonts w:ascii="Calibri" w:eastAsia="Calibri" w:hAnsi="Calibri" w:cs="Calibri"/>
        </w:rPr>
        <w:t xml:space="preserve"> published in the Federal Register</w:t>
      </w:r>
      <w:r w:rsidR="00DB5EE1">
        <w:rPr>
          <w:rFonts w:ascii="Calibri" w:eastAsia="Calibri" w:hAnsi="Calibri" w:cs="Calibri"/>
        </w:rPr>
        <w:t xml:space="preserve"> on August 23, 2021,</w:t>
      </w:r>
      <w:r w:rsidR="009A5D9E">
        <w:rPr>
          <w:rFonts w:ascii="Calibri" w:eastAsia="Calibri" w:hAnsi="Calibri" w:cs="Calibri"/>
        </w:rPr>
        <w:t xml:space="preserve"> and its specific question on what public benefits should be considered under a public charge determination</w:t>
      </w:r>
      <w:r w:rsidRPr="4CD7732E">
        <w:rPr>
          <w:rFonts w:ascii="Calibri" w:eastAsia="Calibri" w:hAnsi="Calibri" w:cs="Calibri"/>
        </w:rPr>
        <w:t xml:space="preserve">. </w:t>
      </w:r>
      <w:r w:rsidR="009A5D9E">
        <w:rPr>
          <w:rFonts w:ascii="Calibri" w:eastAsia="Calibri" w:hAnsi="Calibri"/>
        </w:rPr>
        <w:t>[</w:t>
      </w:r>
      <w:r w:rsidR="009A5D9E" w:rsidRPr="009A5D9E">
        <w:rPr>
          <w:rFonts w:ascii="Calibri" w:eastAsia="Calibri" w:hAnsi="Calibri"/>
          <w:highlight w:val="yellow"/>
        </w:rPr>
        <w:t>Your organization/agency name</w:t>
      </w:r>
      <w:r w:rsidR="009A5D9E">
        <w:rPr>
          <w:rFonts w:ascii="Calibri" w:eastAsia="Calibri" w:hAnsi="Calibri"/>
        </w:rPr>
        <w:t>]</w:t>
      </w:r>
      <w:r w:rsidR="009A5D9E" w:rsidRPr="00CF3AE5">
        <w:rPr>
          <w:rFonts w:ascii="Calibri" w:eastAsia="Calibri" w:hAnsi="Calibri"/>
        </w:rPr>
        <w:t xml:space="preserve"> continues to support clear access to critical and life-saving benefits, including housing benefits. We urge th</w:t>
      </w:r>
      <w:r w:rsidR="009A5D9E">
        <w:rPr>
          <w:rFonts w:ascii="Calibri" w:eastAsia="Calibri" w:hAnsi="Calibri"/>
        </w:rPr>
        <w:t xml:space="preserve">at these critical programs should not be </w:t>
      </w:r>
      <w:proofErr w:type="gramStart"/>
      <w:r w:rsidR="009A5D9E">
        <w:rPr>
          <w:rFonts w:ascii="Calibri" w:eastAsia="Calibri" w:hAnsi="Calibri"/>
        </w:rPr>
        <w:t>considered</w:t>
      </w:r>
      <w:proofErr w:type="gramEnd"/>
      <w:r w:rsidR="009A5D9E" w:rsidRPr="00CF3AE5">
        <w:rPr>
          <w:rFonts w:ascii="Calibri" w:eastAsia="Calibri" w:hAnsi="Calibri"/>
        </w:rPr>
        <w:t xml:space="preserve"> and that </w:t>
      </w:r>
      <w:r w:rsidR="009A5D9E">
        <w:rPr>
          <w:rFonts w:ascii="Calibri" w:eastAsia="Calibri" w:hAnsi="Calibri"/>
        </w:rPr>
        <w:t>DHS make efforts to more clearly communicate what benefits are or are not counted</w:t>
      </w:r>
      <w:r w:rsidR="009A5D9E" w:rsidRPr="00CF3AE5">
        <w:rPr>
          <w:rFonts w:ascii="Calibri" w:eastAsia="Calibri" w:hAnsi="Calibri"/>
        </w:rPr>
        <w:t xml:space="preserve"> so that immigrant families know that they have access to these benefits without fear of retaliation. </w:t>
      </w:r>
    </w:p>
    <w:p w14:paraId="40F68A0A" w14:textId="77777777" w:rsidR="00B11729" w:rsidRPr="00331425" w:rsidRDefault="00B11729" w:rsidP="00331425">
      <w:pPr>
        <w:spacing w:after="0" w:line="240" w:lineRule="auto"/>
        <w:rPr>
          <w:rFonts w:ascii="Calibri" w:eastAsia="Calibri" w:hAnsi="Calibri"/>
        </w:rPr>
      </w:pPr>
    </w:p>
    <w:p w14:paraId="00FADE43" w14:textId="273EDBAD" w:rsidR="041A94DB" w:rsidRDefault="4CD7732E" w:rsidP="00331425">
      <w:pPr>
        <w:spacing w:after="0" w:line="240" w:lineRule="auto"/>
        <w:rPr>
          <w:rFonts w:ascii="Calibri" w:eastAsia="Calibri" w:hAnsi="Calibri" w:cs="Calibri"/>
          <w:highlight w:val="yellow"/>
        </w:rPr>
      </w:pPr>
      <w:r w:rsidRPr="4CD7732E">
        <w:rPr>
          <w:rFonts w:ascii="Calibri" w:eastAsia="Calibri" w:hAnsi="Calibri" w:cs="Calibri"/>
          <w:highlight w:val="yellow"/>
        </w:rPr>
        <w:t>[INSERT paragraph describing your organization</w:t>
      </w:r>
      <w:r w:rsidR="00553E22">
        <w:rPr>
          <w:rFonts w:ascii="Calibri" w:eastAsia="Calibri" w:hAnsi="Calibri" w:cs="Calibri"/>
          <w:highlight w:val="yellow"/>
        </w:rPr>
        <w:t>/agency</w:t>
      </w:r>
      <w:r w:rsidRPr="4CD7732E">
        <w:rPr>
          <w:rFonts w:ascii="Calibri" w:eastAsia="Calibri" w:hAnsi="Calibri" w:cs="Calibri"/>
          <w:highlight w:val="yellow"/>
        </w:rPr>
        <w:t xml:space="preserve">, </w:t>
      </w:r>
      <w:r w:rsidR="00553E22">
        <w:rPr>
          <w:rFonts w:ascii="Calibri" w:eastAsia="Calibri" w:hAnsi="Calibri" w:cs="Calibri"/>
          <w:highlight w:val="yellow"/>
        </w:rPr>
        <w:t xml:space="preserve">its mission (if applicable), </w:t>
      </w:r>
      <w:r w:rsidRPr="4CD7732E">
        <w:rPr>
          <w:rFonts w:ascii="Calibri" w:eastAsia="Calibri" w:hAnsi="Calibri" w:cs="Calibri"/>
          <w:highlight w:val="yellow"/>
        </w:rPr>
        <w:t xml:space="preserve">why this </w:t>
      </w:r>
      <w:r w:rsidR="00F60157">
        <w:rPr>
          <w:rFonts w:ascii="Calibri" w:eastAsia="Calibri" w:hAnsi="Calibri" w:cs="Calibri"/>
          <w:highlight w:val="yellow"/>
        </w:rPr>
        <w:t xml:space="preserve">proposed </w:t>
      </w:r>
      <w:proofErr w:type="gramStart"/>
      <w:r w:rsidR="00F60157">
        <w:rPr>
          <w:rFonts w:ascii="Calibri" w:eastAsia="Calibri" w:hAnsi="Calibri" w:cs="Calibri"/>
          <w:highlight w:val="yellow"/>
        </w:rPr>
        <w:t>rule</w:t>
      </w:r>
      <w:proofErr w:type="gramEnd"/>
      <w:r w:rsidR="00F60157">
        <w:rPr>
          <w:rFonts w:ascii="Calibri" w:eastAsia="Calibri" w:hAnsi="Calibri" w:cs="Calibri"/>
          <w:highlight w:val="yellow"/>
        </w:rPr>
        <w:t xml:space="preserve"> and its implications are</w:t>
      </w:r>
      <w:r w:rsidRPr="4CD7732E">
        <w:rPr>
          <w:rFonts w:ascii="Calibri" w:eastAsia="Calibri" w:hAnsi="Calibri" w:cs="Calibri"/>
          <w:highlight w:val="yellow"/>
        </w:rPr>
        <w:t xml:space="preserve"> particularly urgent to you, </w:t>
      </w:r>
      <w:r w:rsidR="00F60157">
        <w:rPr>
          <w:rFonts w:ascii="Calibri" w:eastAsia="Calibri" w:hAnsi="Calibri" w:cs="Calibri"/>
          <w:highlight w:val="yellow"/>
        </w:rPr>
        <w:t>and</w:t>
      </w:r>
      <w:r w:rsidRPr="4CD7732E">
        <w:rPr>
          <w:rFonts w:ascii="Calibri" w:eastAsia="Calibri" w:hAnsi="Calibri" w:cs="Calibri"/>
          <w:highlight w:val="yellow"/>
        </w:rPr>
        <w:t xml:space="preserve"> the expertise </w:t>
      </w:r>
      <w:r w:rsidR="00553E22">
        <w:rPr>
          <w:rFonts w:ascii="Calibri" w:eastAsia="Calibri" w:hAnsi="Calibri" w:cs="Calibri"/>
          <w:highlight w:val="yellow"/>
        </w:rPr>
        <w:t xml:space="preserve">or background </w:t>
      </w:r>
      <w:r w:rsidRPr="4CD7732E">
        <w:rPr>
          <w:rFonts w:ascii="Calibri" w:eastAsia="Calibri" w:hAnsi="Calibri" w:cs="Calibri"/>
          <w:highlight w:val="yellow"/>
        </w:rPr>
        <w:t>that you have on these</w:t>
      </w:r>
      <w:r w:rsidR="00553E22">
        <w:rPr>
          <w:rFonts w:ascii="Calibri" w:eastAsia="Calibri" w:hAnsi="Calibri" w:cs="Calibri"/>
          <w:highlight w:val="yellow"/>
        </w:rPr>
        <w:t xml:space="preserve"> and related</w:t>
      </w:r>
      <w:r w:rsidRPr="4CD7732E">
        <w:rPr>
          <w:rFonts w:ascii="Calibri" w:eastAsia="Calibri" w:hAnsi="Calibri" w:cs="Calibri"/>
          <w:highlight w:val="yellow"/>
        </w:rPr>
        <w:t xml:space="preserve"> issues</w:t>
      </w:r>
      <w:r w:rsidR="00553E22">
        <w:rPr>
          <w:rFonts w:ascii="Calibri" w:eastAsia="Calibri" w:hAnsi="Calibri" w:cs="Calibri"/>
          <w:highlight w:val="yellow"/>
        </w:rPr>
        <w:t>, such as housing and homelessness</w:t>
      </w:r>
      <w:r w:rsidRPr="4CD7732E">
        <w:rPr>
          <w:rFonts w:ascii="Calibri" w:eastAsia="Calibri" w:hAnsi="Calibri" w:cs="Calibri"/>
          <w:highlight w:val="yellow"/>
        </w:rPr>
        <w:t xml:space="preserve">. If you are a service </w:t>
      </w:r>
      <w:r w:rsidR="00134BC8">
        <w:rPr>
          <w:rFonts w:ascii="Calibri" w:eastAsia="Calibri" w:hAnsi="Calibri" w:cs="Calibri"/>
          <w:highlight w:val="yellow"/>
        </w:rPr>
        <w:t xml:space="preserve">or housing </w:t>
      </w:r>
      <w:r w:rsidRPr="4CD7732E">
        <w:rPr>
          <w:rFonts w:ascii="Calibri" w:eastAsia="Calibri" w:hAnsi="Calibri" w:cs="Calibri"/>
          <w:highlight w:val="yellow"/>
        </w:rPr>
        <w:t>provider, consider including specific data on the populations you serve.  If you are a state/local organization, consider including demographic information.</w:t>
      </w:r>
      <w:r w:rsidR="009C1D9F">
        <w:rPr>
          <w:rFonts w:ascii="Calibri" w:eastAsia="Calibri" w:hAnsi="Calibri" w:cs="Calibri"/>
          <w:highlight w:val="yellow"/>
        </w:rPr>
        <w:t xml:space="preserve">  If you cite data or studies, be sure to upload them as well, if possible, or</w:t>
      </w:r>
      <w:r w:rsidR="00895CF8">
        <w:rPr>
          <w:rFonts w:ascii="Calibri" w:eastAsia="Calibri" w:hAnsi="Calibri" w:cs="Calibri"/>
          <w:highlight w:val="yellow"/>
        </w:rPr>
        <w:t>, if not,</w:t>
      </w:r>
      <w:r w:rsidR="009C1D9F">
        <w:rPr>
          <w:rFonts w:ascii="Calibri" w:eastAsia="Calibri" w:hAnsi="Calibri" w:cs="Calibri"/>
          <w:highlight w:val="yellow"/>
        </w:rPr>
        <w:t xml:space="preserve"> to include a live link</w:t>
      </w:r>
      <w:r w:rsidR="00895CF8">
        <w:rPr>
          <w:rFonts w:ascii="Calibri" w:eastAsia="Calibri" w:hAnsi="Calibri" w:cs="Calibri"/>
          <w:highlight w:val="yellow"/>
        </w:rPr>
        <w:t xml:space="preserve"> and ask that any cited materials be considered part of your comment.</w:t>
      </w:r>
      <w:r w:rsidRPr="4CD7732E">
        <w:rPr>
          <w:rFonts w:ascii="Calibri" w:eastAsia="Calibri" w:hAnsi="Calibri" w:cs="Calibri"/>
          <w:highlight w:val="yellow"/>
        </w:rPr>
        <w:t xml:space="preserve">]  </w:t>
      </w:r>
    </w:p>
    <w:p w14:paraId="0967A082" w14:textId="77777777" w:rsidR="00B11729" w:rsidRDefault="00B11729" w:rsidP="00331425">
      <w:pPr>
        <w:spacing w:after="0" w:line="240" w:lineRule="auto"/>
        <w:rPr>
          <w:rFonts w:ascii="Calibri" w:eastAsia="Calibri" w:hAnsi="Calibri"/>
        </w:rPr>
      </w:pPr>
    </w:p>
    <w:p w14:paraId="630335B1" w14:textId="6446E66D" w:rsidR="00521D49" w:rsidRPr="009A5D9E" w:rsidRDefault="009A5D9E" w:rsidP="00331425">
      <w:pPr>
        <w:spacing w:after="0" w:line="240" w:lineRule="auto"/>
        <w:rPr>
          <w:rFonts w:ascii="Georgia" w:eastAsia="Times New Roman" w:hAnsi="Georgia"/>
        </w:rPr>
      </w:pPr>
      <w:r w:rsidRPr="00CF3AE5">
        <w:rPr>
          <w:rFonts w:ascii="Calibri" w:eastAsia="Calibri" w:hAnsi="Calibri"/>
        </w:rPr>
        <w:t xml:space="preserve">The 2019 “Inadmissibility on Public Charge Grounds” was a dramatic shift from decades of immigration policy that, even </w:t>
      </w:r>
      <w:r w:rsidR="00184B69">
        <w:rPr>
          <w:rFonts w:ascii="Calibri" w:eastAsia="Calibri" w:hAnsi="Calibri"/>
        </w:rPr>
        <w:t>before</w:t>
      </w:r>
      <w:r w:rsidRPr="00CF3AE5">
        <w:rPr>
          <w:rFonts w:ascii="Calibri" w:eastAsia="Calibri" w:hAnsi="Calibri"/>
        </w:rPr>
        <w:t xml:space="preserve"> being finalized, caused </w:t>
      </w:r>
      <w:r>
        <w:rPr>
          <w:rFonts w:ascii="Calibri" w:eastAsia="Calibri" w:hAnsi="Calibri"/>
        </w:rPr>
        <w:t xml:space="preserve">a </w:t>
      </w:r>
      <w:r w:rsidRPr="00CF3AE5">
        <w:rPr>
          <w:rFonts w:ascii="Calibri" w:eastAsia="Calibri" w:hAnsi="Calibri"/>
        </w:rPr>
        <w:t xml:space="preserve">significant negative impact on eligible families. The 2019 Public Charge rule was fundamentally un-American by unnecessarily restricting access to critical programs </w:t>
      </w:r>
      <w:r>
        <w:rPr>
          <w:rFonts w:ascii="Calibri" w:eastAsia="Calibri" w:hAnsi="Calibri"/>
        </w:rPr>
        <w:t xml:space="preserve">by considering under a public charge determination </w:t>
      </w:r>
      <w:r w:rsidR="00184B69">
        <w:rPr>
          <w:rFonts w:ascii="Calibri" w:eastAsia="Calibri" w:hAnsi="Calibri"/>
        </w:rPr>
        <w:t>several</w:t>
      </w:r>
      <w:r>
        <w:rPr>
          <w:rFonts w:ascii="Calibri" w:eastAsia="Calibri" w:hAnsi="Calibri"/>
        </w:rPr>
        <w:t xml:space="preserve"> additional programs, including the use of the Section 8 Housing Choice Voucher, Section 8 Project-Based Rental Assistance, and Public Housing programs, as well as Supplemental Nutrition Assistance Program, Medicaid, and parts of Medicare</w:t>
      </w:r>
      <w:r>
        <w:rPr>
          <w:rFonts w:ascii="Times New Roman" w:hAnsi="Times New Roman"/>
        </w:rPr>
        <w:t>.</w:t>
      </w:r>
    </w:p>
    <w:p w14:paraId="0284C0A4" w14:textId="77777777" w:rsidR="00B11729" w:rsidRDefault="00B11729" w:rsidP="00331425">
      <w:pPr>
        <w:spacing w:after="0" w:line="240" w:lineRule="auto"/>
        <w:rPr>
          <w:rFonts w:ascii="Calibri" w:eastAsia="Calibri" w:hAnsi="Calibri" w:cs="Calibri"/>
          <w:b/>
          <w:bCs/>
          <w:u w:val="single"/>
        </w:rPr>
      </w:pPr>
    </w:p>
    <w:p w14:paraId="767B3A38" w14:textId="431E753F" w:rsidR="00767455" w:rsidRDefault="00767455" w:rsidP="00331425">
      <w:pPr>
        <w:spacing w:after="0" w:line="240" w:lineRule="auto"/>
        <w:rPr>
          <w:rFonts w:ascii="Calibri" w:eastAsia="Calibri" w:hAnsi="Calibri" w:cs="Calibri"/>
        </w:rPr>
      </w:pPr>
      <w:r w:rsidRPr="4CD7732E">
        <w:rPr>
          <w:rFonts w:ascii="Calibri" w:eastAsia="Calibri" w:hAnsi="Calibri" w:cs="Calibri"/>
          <w:b/>
          <w:bCs/>
          <w:u w:val="single"/>
        </w:rPr>
        <w:t xml:space="preserve">The </w:t>
      </w:r>
      <w:r w:rsidR="009A5D9E">
        <w:rPr>
          <w:rFonts w:ascii="Calibri" w:eastAsia="Calibri" w:hAnsi="Calibri" w:cs="Calibri"/>
          <w:b/>
          <w:bCs/>
          <w:u w:val="single"/>
        </w:rPr>
        <w:t>2019 Rule harmed immigrant communities and had a broad chilling effect</w:t>
      </w:r>
    </w:p>
    <w:p w14:paraId="0A1C4949" w14:textId="0F02DE8F" w:rsidR="0032186D" w:rsidRDefault="00757942" w:rsidP="00331425">
      <w:pPr>
        <w:spacing w:after="0" w:line="240" w:lineRule="auto"/>
        <w:rPr>
          <w:rFonts w:ascii="Calibri" w:eastAsia="Calibri" w:hAnsi="Calibri" w:cs="Calibri"/>
          <w:b/>
          <w:bCs/>
          <w:u w:val="single"/>
        </w:rPr>
      </w:pPr>
      <w:r w:rsidRPr="00CF3AE5">
        <w:rPr>
          <w:rFonts w:ascii="Calibri" w:eastAsia="Calibri" w:hAnsi="Calibri"/>
        </w:rPr>
        <w:t xml:space="preserve">The 2019 Public Charge rule specifically targeted low-income immigrants, a population that already faces substantial barriers to housing. The </w:t>
      </w:r>
      <w:r>
        <w:rPr>
          <w:rFonts w:ascii="Calibri" w:eastAsia="Calibri" w:hAnsi="Calibri"/>
        </w:rPr>
        <w:t>R</w:t>
      </w:r>
      <w:r w:rsidRPr="00CF3AE5">
        <w:rPr>
          <w:rFonts w:ascii="Calibri" w:eastAsia="Calibri" w:hAnsi="Calibri"/>
        </w:rPr>
        <w:t>ule put</w:t>
      </w:r>
      <w:r w:rsidR="00184B69">
        <w:rPr>
          <w:rFonts w:ascii="Calibri" w:eastAsia="Calibri" w:hAnsi="Calibri"/>
        </w:rPr>
        <w:t>s</w:t>
      </w:r>
      <w:r w:rsidRPr="00CF3AE5">
        <w:rPr>
          <w:rFonts w:ascii="Calibri" w:eastAsia="Calibri" w:hAnsi="Calibri"/>
        </w:rPr>
        <w:t xml:space="preserve"> immigrants in an impossible bind: having to choose between accessing the supports they need to live safe and healthy lives or protecting their immigration status</w:t>
      </w:r>
      <w:r w:rsidR="00D814F9">
        <w:rPr>
          <w:rFonts w:ascii="Calibri" w:eastAsia="Calibri" w:hAnsi="Calibri"/>
        </w:rPr>
        <w:t>.</w:t>
      </w:r>
      <w:r w:rsidR="0032186D" w:rsidRPr="00CF3AE5">
        <w:rPr>
          <w:rFonts w:ascii="Calibri" w:eastAsia="Calibri" w:hAnsi="Calibri"/>
        </w:rPr>
        <w:t xml:space="preserve"> </w:t>
      </w:r>
    </w:p>
    <w:p w14:paraId="11DC944D" w14:textId="77777777" w:rsidR="00767455" w:rsidRDefault="00767455" w:rsidP="00331425">
      <w:pPr>
        <w:spacing w:after="0" w:line="240" w:lineRule="auto"/>
        <w:rPr>
          <w:highlight w:val="yellow"/>
        </w:rPr>
      </w:pPr>
    </w:p>
    <w:p w14:paraId="5632057E" w14:textId="7C20CA32" w:rsidR="00767455" w:rsidRDefault="00767455" w:rsidP="00331425">
      <w:pPr>
        <w:spacing w:after="0" w:line="240" w:lineRule="auto"/>
        <w:rPr>
          <w:rFonts w:ascii="Calibri" w:eastAsia="Calibri" w:hAnsi="Calibri" w:cs="Calibri"/>
          <w:b/>
          <w:bCs/>
          <w:u w:val="single"/>
        </w:rPr>
      </w:pPr>
      <w:r w:rsidRPr="0092094C">
        <w:rPr>
          <w:highlight w:val="yellow"/>
        </w:rPr>
        <w:t>[Insert stories about individual</w:t>
      </w:r>
      <w:r>
        <w:rPr>
          <w:highlight w:val="yellow"/>
        </w:rPr>
        <w:t xml:space="preserve"> client</w:t>
      </w:r>
      <w:r w:rsidRPr="0092094C">
        <w:rPr>
          <w:highlight w:val="yellow"/>
        </w:rPr>
        <w:t>’s</w:t>
      </w:r>
      <w:r w:rsidR="005D3C13">
        <w:rPr>
          <w:highlight w:val="yellow"/>
        </w:rPr>
        <w:t>/tenant’s</w:t>
      </w:r>
      <w:r w:rsidRPr="0092094C">
        <w:rPr>
          <w:highlight w:val="yellow"/>
        </w:rPr>
        <w:t xml:space="preserve"> </w:t>
      </w:r>
      <w:r w:rsidR="00757942">
        <w:rPr>
          <w:highlight w:val="yellow"/>
        </w:rPr>
        <w:t>fear of public charge implications due to eligibility for or receipt of housing assistance, COVID-19 assistance (i.e., vaccinations, medical treatment, emergency rental assistance)</w:t>
      </w:r>
      <w:r w:rsidR="00184B69">
        <w:rPr>
          <w:highlight w:val="yellow"/>
        </w:rPr>
        <w:t>,</w:t>
      </w:r>
      <w:r w:rsidR="00757942">
        <w:rPr>
          <w:highlight w:val="yellow"/>
        </w:rPr>
        <w:t xml:space="preserve"> or other public benefits</w:t>
      </w:r>
      <w:r w:rsidRPr="0092094C">
        <w:rPr>
          <w:highlight w:val="yellow"/>
        </w:rPr>
        <w:t>]</w:t>
      </w:r>
    </w:p>
    <w:p w14:paraId="0418F674" w14:textId="32CCD949" w:rsidR="003C04A0" w:rsidRDefault="003C04A0" w:rsidP="00331425">
      <w:pPr>
        <w:spacing w:after="0" w:line="240" w:lineRule="auto"/>
        <w:rPr>
          <w:rFonts w:ascii="Calibri" w:eastAsia="Calibri" w:hAnsi="Calibri" w:cs="Calibri"/>
          <w:b/>
          <w:bCs/>
          <w:u w:val="single"/>
        </w:rPr>
      </w:pPr>
    </w:p>
    <w:p w14:paraId="016FF678" w14:textId="10F9CD7D" w:rsidR="004B03EC" w:rsidRPr="00CF3AE5" w:rsidRDefault="004B03EC" w:rsidP="00331425">
      <w:pPr>
        <w:spacing w:after="0" w:line="240" w:lineRule="auto"/>
        <w:rPr>
          <w:rFonts w:ascii="Calibri" w:eastAsia="Calibri" w:hAnsi="Calibri"/>
        </w:rPr>
      </w:pPr>
      <w:r>
        <w:rPr>
          <w:rFonts w:ascii="Calibri" w:eastAsia="Calibri" w:hAnsi="Calibri"/>
        </w:rPr>
        <w:t>For these reasons,</w:t>
      </w:r>
      <w:r w:rsidRPr="00CF3AE5">
        <w:rPr>
          <w:rFonts w:ascii="Calibri" w:eastAsia="Calibri" w:hAnsi="Calibri"/>
        </w:rPr>
        <w:t xml:space="preserve"> </w:t>
      </w:r>
      <w:r>
        <w:rPr>
          <w:rFonts w:ascii="Calibri" w:eastAsia="Calibri" w:hAnsi="Calibri"/>
        </w:rPr>
        <w:t>i</w:t>
      </w:r>
      <w:r w:rsidRPr="00CF3AE5">
        <w:rPr>
          <w:rFonts w:ascii="Calibri" w:eastAsia="Calibri" w:hAnsi="Calibri"/>
        </w:rPr>
        <w:t>t is imperative that any changes that DHS consider</w:t>
      </w:r>
      <w:r>
        <w:rPr>
          <w:rFonts w:ascii="Calibri" w:eastAsia="Calibri" w:hAnsi="Calibri"/>
        </w:rPr>
        <w:t>s</w:t>
      </w:r>
      <w:r w:rsidRPr="00CF3AE5">
        <w:rPr>
          <w:rFonts w:ascii="Calibri" w:eastAsia="Calibri" w:hAnsi="Calibri"/>
        </w:rPr>
        <w:t xml:space="preserve"> to the existing test for adjudicating public charge inadmissibility not </w:t>
      </w:r>
      <w:r>
        <w:rPr>
          <w:rFonts w:ascii="Calibri" w:eastAsia="Calibri" w:hAnsi="Calibri"/>
        </w:rPr>
        <w:t xml:space="preserve">have the effect of </w:t>
      </w:r>
      <w:r w:rsidRPr="00CF3AE5">
        <w:rPr>
          <w:rFonts w:ascii="Calibri" w:eastAsia="Calibri" w:hAnsi="Calibri"/>
        </w:rPr>
        <w:t>restrict</w:t>
      </w:r>
      <w:r>
        <w:rPr>
          <w:rFonts w:ascii="Calibri" w:eastAsia="Calibri" w:hAnsi="Calibri"/>
        </w:rPr>
        <w:t>ing or chilling</w:t>
      </w:r>
      <w:r w:rsidRPr="00CF3AE5">
        <w:rPr>
          <w:rFonts w:ascii="Calibri" w:eastAsia="Calibri" w:hAnsi="Calibri"/>
        </w:rPr>
        <w:t xml:space="preserve"> access to any </w:t>
      </w:r>
      <w:r w:rsidRPr="00CF3AE5">
        <w:rPr>
          <w:rFonts w:ascii="Calibri" w:eastAsia="Calibri" w:hAnsi="Calibri"/>
        </w:rPr>
        <w:lastRenderedPageBreak/>
        <w:t xml:space="preserve">critical </w:t>
      </w:r>
      <w:r w:rsidR="0032186D">
        <w:rPr>
          <w:rFonts w:ascii="Calibri" w:eastAsia="Calibri" w:hAnsi="Calibri"/>
        </w:rPr>
        <w:t xml:space="preserve">benefits </w:t>
      </w:r>
      <w:r w:rsidRPr="00CF3AE5">
        <w:rPr>
          <w:rFonts w:ascii="Calibri" w:eastAsia="Calibri" w:hAnsi="Calibri"/>
        </w:rPr>
        <w:t>programs</w:t>
      </w:r>
      <w:r w:rsidR="0032186D">
        <w:rPr>
          <w:rFonts w:ascii="Calibri" w:eastAsia="Calibri" w:hAnsi="Calibri"/>
        </w:rPr>
        <w:t xml:space="preserve"> including housing and homelessness assistance</w:t>
      </w:r>
      <w:r w:rsidR="00184B69">
        <w:rPr>
          <w:rFonts w:ascii="Calibri" w:eastAsia="Calibri" w:hAnsi="Calibri"/>
        </w:rPr>
        <w:t>,</w:t>
      </w:r>
      <w:r w:rsidRPr="00CF3AE5">
        <w:rPr>
          <w:rFonts w:ascii="Calibri" w:eastAsia="Calibri" w:hAnsi="Calibri"/>
        </w:rPr>
        <w:t xml:space="preserve"> and </w:t>
      </w:r>
      <w:r>
        <w:rPr>
          <w:rFonts w:ascii="Calibri" w:eastAsia="Calibri" w:hAnsi="Calibri"/>
        </w:rPr>
        <w:t xml:space="preserve">that the implementation of the rule </w:t>
      </w:r>
      <w:r w:rsidRPr="00CF3AE5">
        <w:rPr>
          <w:rFonts w:ascii="Calibri" w:eastAsia="Calibri" w:hAnsi="Calibri"/>
        </w:rPr>
        <w:t xml:space="preserve">works to address the chilling effects of the 2019 rule. </w:t>
      </w:r>
    </w:p>
    <w:p w14:paraId="3B919C19" w14:textId="77777777" w:rsidR="00B11729" w:rsidRDefault="00B11729" w:rsidP="00331425">
      <w:pPr>
        <w:pStyle w:val="Heading3"/>
        <w:spacing w:before="0" w:beforeAutospacing="0" w:after="0" w:afterAutospacing="0"/>
        <w:rPr>
          <w:rFonts w:ascii="Calibri" w:hAnsi="Calibri" w:cs="Calibri"/>
          <w:color w:val="000000"/>
          <w:sz w:val="22"/>
          <w:szCs w:val="22"/>
        </w:rPr>
      </w:pPr>
    </w:p>
    <w:p w14:paraId="7CC9DBF6" w14:textId="4DA7767B" w:rsidR="00DB5EE1" w:rsidRDefault="00DB5EE1" w:rsidP="00B11729">
      <w:pPr>
        <w:pStyle w:val="Heading3"/>
        <w:numPr>
          <w:ilvl w:val="0"/>
          <w:numId w:val="11"/>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Purpose and definition of public charge</w:t>
      </w:r>
    </w:p>
    <w:p w14:paraId="0F6C6D3D" w14:textId="77777777" w:rsidR="00B11729" w:rsidRDefault="00B11729" w:rsidP="00B11729">
      <w:pPr>
        <w:pStyle w:val="Heading3"/>
        <w:spacing w:before="0" w:beforeAutospacing="0" w:after="0" w:afterAutospacing="0"/>
        <w:ind w:left="720"/>
      </w:pPr>
    </w:p>
    <w:p w14:paraId="4700C864" w14:textId="52E7E6D2" w:rsidR="00DB5EE1" w:rsidRPr="00232BDE" w:rsidRDefault="00DB5EE1" w:rsidP="00331425">
      <w:pPr>
        <w:pStyle w:val="NormalWeb"/>
        <w:numPr>
          <w:ilvl w:val="0"/>
          <w:numId w:val="6"/>
        </w:numPr>
        <w:spacing w:before="0" w:beforeAutospacing="0" w:after="0" w:afterAutospacing="0"/>
        <w:ind w:firstLine="0"/>
        <w:textAlignment w:val="baseline"/>
        <w:rPr>
          <w:rFonts w:ascii="Calibri" w:hAnsi="Calibri" w:cs="Calibri"/>
          <w:color w:val="000000"/>
          <w:sz w:val="22"/>
          <w:szCs w:val="22"/>
        </w:rPr>
      </w:pPr>
      <w:r>
        <w:rPr>
          <w:rFonts w:ascii="Calibri" w:hAnsi="Calibri" w:cs="Calibri"/>
          <w:color w:val="000000"/>
          <w:sz w:val="22"/>
          <w:szCs w:val="22"/>
          <w:u w:val="single"/>
        </w:rPr>
        <w:t>How should DHS define the term “public charge</w:t>
      </w:r>
      <w:r>
        <w:rPr>
          <w:rFonts w:ascii="Calibri" w:hAnsi="Calibri" w:cs="Calibri"/>
          <w:color w:val="000000"/>
          <w:sz w:val="22"/>
          <w:szCs w:val="22"/>
        </w:rPr>
        <w:t>”?  </w:t>
      </w:r>
    </w:p>
    <w:p w14:paraId="5D5B272A" w14:textId="77777777" w:rsidR="00B11729" w:rsidRDefault="00B11729" w:rsidP="00331425">
      <w:pPr>
        <w:pStyle w:val="NormalWeb"/>
        <w:shd w:val="clear" w:color="auto" w:fill="FFFFFF"/>
        <w:spacing w:before="0" w:beforeAutospacing="0" w:after="0" w:afterAutospacing="0"/>
        <w:ind w:right="580"/>
        <w:textAlignment w:val="baseline"/>
        <w:rPr>
          <w:rFonts w:ascii="Calibri" w:hAnsi="Calibri" w:cs="Calibri"/>
          <w:color w:val="000000"/>
          <w:sz w:val="22"/>
          <w:szCs w:val="22"/>
        </w:rPr>
      </w:pPr>
    </w:p>
    <w:p w14:paraId="5C0B69BC" w14:textId="2017BF0F" w:rsidR="00623F13" w:rsidRDefault="00DB5EE1" w:rsidP="00331425">
      <w:pPr>
        <w:pStyle w:val="NormalWeb"/>
        <w:shd w:val="clear" w:color="auto" w:fill="FFFFFF"/>
        <w:spacing w:before="0" w:beforeAutospacing="0" w:after="0" w:afterAutospacing="0"/>
        <w:ind w:right="580"/>
        <w:textAlignment w:val="baseline"/>
        <w:rPr>
          <w:rFonts w:ascii="Calibri" w:hAnsi="Calibri" w:cs="Calibri"/>
          <w:color w:val="000000"/>
          <w:sz w:val="22"/>
          <w:szCs w:val="22"/>
        </w:rPr>
      </w:pPr>
      <w:r>
        <w:rPr>
          <w:rFonts w:ascii="Calibri" w:hAnsi="Calibri" w:cs="Calibri"/>
          <w:color w:val="000000"/>
          <w:sz w:val="22"/>
          <w:szCs w:val="22"/>
        </w:rPr>
        <w:t xml:space="preserve">DHS should define public charge for inadmissibility purposes as a person who </w:t>
      </w:r>
      <w:r>
        <w:rPr>
          <w:rFonts w:ascii="Calibri" w:hAnsi="Calibri" w:cs="Calibri"/>
          <w:color w:val="000000"/>
          <w:sz w:val="22"/>
          <w:szCs w:val="22"/>
          <w:shd w:val="clear" w:color="auto" w:fill="FFFFFF"/>
        </w:rPr>
        <w:t>is “likely to become primarily and permanently reliant on the federal government to avoid destitution.”</w:t>
      </w:r>
      <w:r>
        <w:rPr>
          <w:rFonts w:ascii="Calibri" w:hAnsi="Calibri" w:cs="Calibri"/>
          <w:color w:val="000000"/>
          <w:sz w:val="13"/>
          <w:szCs w:val="13"/>
          <w:vertAlign w:val="superscript"/>
        </w:rPr>
        <w:t xml:space="preserve"> </w:t>
      </w:r>
      <w:r>
        <w:rPr>
          <w:rFonts w:ascii="Calibri" w:hAnsi="Calibri" w:cs="Calibri"/>
          <w:color w:val="000000"/>
          <w:sz w:val="22"/>
          <w:szCs w:val="22"/>
        </w:rPr>
        <w:t xml:space="preserve">This would be consistent with the Congressional intent and historical understanding of public charge as applying to a narrow set of immigrants who are likely to become a “public charge” by being so in need of assistance that they were housed in almshouses and poorhouses for indefinite stays. It is also consistent with </w:t>
      </w:r>
      <w:r w:rsidR="007D1E35">
        <w:rPr>
          <w:rFonts w:ascii="Calibri" w:hAnsi="Calibri" w:cs="Calibri"/>
          <w:color w:val="000000"/>
          <w:sz w:val="22"/>
          <w:szCs w:val="22"/>
        </w:rPr>
        <w:t xml:space="preserve">recent </w:t>
      </w:r>
      <w:r>
        <w:rPr>
          <w:rFonts w:ascii="Calibri" w:hAnsi="Calibri" w:cs="Calibri"/>
          <w:color w:val="000000"/>
          <w:sz w:val="22"/>
          <w:szCs w:val="22"/>
        </w:rPr>
        <w:t>legal interpretations</w:t>
      </w:r>
      <w:r w:rsidR="007D1E35">
        <w:rPr>
          <w:rFonts w:ascii="Calibri" w:hAnsi="Calibri" w:cs="Calibri"/>
          <w:color w:val="000000"/>
          <w:sz w:val="22"/>
          <w:szCs w:val="22"/>
        </w:rPr>
        <w:t xml:space="preserve"> that have interpreted “</w:t>
      </w:r>
      <w:r>
        <w:rPr>
          <w:rFonts w:ascii="Calibri" w:hAnsi="Calibri" w:cs="Calibri"/>
          <w:color w:val="000000"/>
          <w:sz w:val="22"/>
          <w:szCs w:val="22"/>
        </w:rPr>
        <w:t>public charg</w:t>
      </w:r>
      <w:r w:rsidR="0032186D">
        <w:rPr>
          <w:rFonts w:ascii="Calibri" w:hAnsi="Calibri" w:cs="Calibri"/>
          <w:color w:val="000000"/>
          <w:sz w:val="22"/>
          <w:szCs w:val="22"/>
        </w:rPr>
        <w:t>e</w:t>
      </w:r>
      <w:r w:rsidR="007D1E35">
        <w:rPr>
          <w:rFonts w:ascii="Calibri" w:hAnsi="Calibri" w:cs="Calibri"/>
          <w:color w:val="000000"/>
          <w:sz w:val="22"/>
          <w:szCs w:val="22"/>
        </w:rPr>
        <w:t>”</w:t>
      </w:r>
      <w:r>
        <w:rPr>
          <w:rFonts w:ascii="Calibri" w:hAnsi="Calibri" w:cs="Calibri"/>
          <w:color w:val="000000"/>
          <w:sz w:val="22"/>
          <w:szCs w:val="22"/>
        </w:rPr>
        <w:t xml:space="preserve"> to mean a person who is “unable to support herself, either through work, savings, or family ties.” Under this definition, reliance on the government should not be </w:t>
      </w:r>
      <w:r w:rsidR="00232BDE">
        <w:rPr>
          <w:rFonts w:ascii="Calibri" w:hAnsi="Calibri" w:cs="Calibri"/>
          <w:color w:val="000000"/>
          <w:sz w:val="22"/>
          <w:szCs w:val="22"/>
        </w:rPr>
        <w:t>considered</w:t>
      </w:r>
      <w:r>
        <w:rPr>
          <w:rFonts w:ascii="Calibri" w:hAnsi="Calibri" w:cs="Calibri"/>
          <w:color w:val="000000"/>
          <w:sz w:val="22"/>
          <w:szCs w:val="22"/>
        </w:rPr>
        <w:t xml:space="preserve"> unless</w:t>
      </w:r>
      <w:r w:rsidR="004B03EC">
        <w:rPr>
          <w:rFonts w:ascii="Calibri" w:hAnsi="Calibri" w:cs="Calibri"/>
          <w:color w:val="000000"/>
          <w:sz w:val="22"/>
          <w:szCs w:val="22"/>
        </w:rPr>
        <w:t xml:space="preserve"> the cash assistance from the government is permanent and </w:t>
      </w:r>
      <w:r w:rsidR="0032186D">
        <w:rPr>
          <w:rFonts w:ascii="Calibri" w:hAnsi="Calibri" w:cs="Calibri"/>
          <w:color w:val="000000"/>
          <w:sz w:val="22"/>
          <w:szCs w:val="22"/>
        </w:rPr>
        <w:t xml:space="preserve">provided </w:t>
      </w:r>
      <w:r w:rsidR="004B03EC">
        <w:rPr>
          <w:rFonts w:ascii="Calibri" w:hAnsi="Calibri" w:cs="Calibri"/>
          <w:color w:val="000000"/>
          <w:sz w:val="22"/>
          <w:szCs w:val="22"/>
        </w:rPr>
        <w:t>at a level that an individual can live on.</w:t>
      </w:r>
      <w:r w:rsidR="00623F13">
        <w:rPr>
          <w:rFonts w:ascii="Calibri" w:hAnsi="Calibri" w:cs="Calibri"/>
          <w:color w:val="000000"/>
          <w:sz w:val="22"/>
          <w:szCs w:val="22"/>
        </w:rPr>
        <w:t xml:space="preserve"> </w:t>
      </w:r>
      <w:r w:rsidR="00623F13" w:rsidRPr="00623F13">
        <w:rPr>
          <w:rFonts w:ascii="Calibri" w:hAnsi="Calibri" w:cs="Calibri"/>
          <w:color w:val="000000"/>
          <w:sz w:val="22"/>
          <w:szCs w:val="22"/>
        </w:rPr>
        <w:t xml:space="preserve">DHS should </w:t>
      </w:r>
      <w:r w:rsidR="00623F13" w:rsidRPr="00623F13">
        <w:rPr>
          <w:rFonts w:ascii="Calibri" w:hAnsi="Calibri" w:cs="Calibri"/>
          <w:bCs/>
          <w:color w:val="000000"/>
          <w:sz w:val="22"/>
          <w:szCs w:val="22"/>
        </w:rPr>
        <w:t>not consider Medicaid – even for institutional long</w:t>
      </w:r>
      <w:r w:rsidR="00184B69">
        <w:rPr>
          <w:rFonts w:ascii="Calibri" w:hAnsi="Calibri" w:cs="Calibri"/>
          <w:bCs/>
          <w:color w:val="000000"/>
          <w:sz w:val="22"/>
          <w:szCs w:val="22"/>
        </w:rPr>
        <w:t>-</w:t>
      </w:r>
      <w:r w:rsidR="00623F13" w:rsidRPr="00623F13">
        <w:rPr>
          <w:rFonts w:ascii="Calibri" w:hAnsi="Calibri" w:cs="Calibri"/>
          <w:bCs/>
          <w:color w:val="000000"/>
          <w:sz w:val="22"/>
          <w:szCs w:val="22"/>
        </w:rPr>
        <w:t>term care – in a public charge determination.</w:t>
      </w:r>
      <w:r w:rsidR="00623F13">
        <w:rPr>
          <w:rFonts w:ascii="Calibri" w:hAnsi="Calibri" w:cs="Calibri"/>
          <w:b/>
          <w:bCs/>
          <w:color w:val="000000"/>
          <w:sz w:val="22"/>
          <w:szCs w:val="22"/>
        </w:rPr>
        <w:t xml:space="preserve"> </w:t>
      </w:r>
      <w:r w:rsidR="00623F13">
        <w:rPr>
          <w:rFonts w:ascii="Calibri" w:hAnsi="Calibri" w:cs="Calibri"/>
          <w:color w:val="000000"/>
          <w:sz w:val="22"/>
          <w:szCs w:val="22"/>
        </w:rPr>
        <w:t>In addition, including any type of Medicaid benefit will confuse people and lead them to forego health care.</w:t>
      </w:r>
    </w:p>
    <w:p w14:paraId="365AFC87" w14:textId="10A181D3" w:rsidR="00623F13" w:rsidRDefault="00623F13" w:rsidP="00331425">
      <w:pPr>
        <w:pStyle w:val="NormalWeb"/>
        <w:shd w:val="clear" w:color="auto" w:fill="FFFFFF"/>
        <w:spacing w:before="0" w:beforeAutospacing="0" w:after="0" w:afterAutospacing="0"/>
        <w:ind w:right="580"/>
        <w:textAlignment w:val="baseline"/>
        <w:rPr>
          <w:rFonts w:ascii="Calibri" w:hAnsi="Calibri" w:cs="Calibri"/>
          <w:color w:val="000000"/>
          <w:sz w:val="22"/>
          <w:szCs w:val="22"/>
        </w:rPr>
      </w:pPr>
    </w:p>
    <w:p w14:paraId="6B9BE011" w14:textId="5505B001" w:rsidR="00232BDE" w:rsidRDefault="00232BDE" w:rsidP="00331425">
      <w:pPr>
        <w:pStyle w:val="NormalWeb"/>
        <w:numPr>
          <w:ilvl w:val="0"/>
          <w:numId w:val="6"/>
        </w:numPr>
        <w:shd w:val="clear" w:color="auto" w:fill="FFFFFF"/>
        <w:spacing w:before="0" w:beforeAutospacing="0" w:after="0" w:afterAutospacing="0"/>
        <w:ind w:right="580" w:firstLine="0"/>
        <w:textAlignment w:val="baseline"/>
        <w:rPr>
          <w:rFonts w:ascii="Calibri" w:hAnsi="Calibri" w:cs="Calibri"/>
          <w:color w:val="000000"/>
          <w:sz w:val="22"/>
          <w:szCs w:val="22"/>
        </w:rPr>
      </w:pPr>
      <w:r>
        <w:rPr>
          <w:rFonts w:ascii="Calibri" w:hAnsi="Calibri" w:cs="Calibri"/>
          <w:color w:val="000000"/>
          <w:sz w:val="22"/>
          <w:szCs w:val="22"/>
          <w:u w:val="single"/>
        </w:rPr>
        <w:t>Provide an explicit list of covered and not-covered programs</w:t>
      </w:r>
    </w:p>
    <w:p w14:paraId="2362737A" w14:textId="77777777" w:rsidR="00232BDE" w:rsidRDefault="00232BDE" w:rsidP="00331425">
      <w:pPr>
        <w:pStyle w:val="NormalWeb"/>
        <w:shd w:val="clear" w:color="auto" w:fill="FFFFFF"/>
        <w:spacing w:before="0" w:beforeAutospacing="0" w:after="0" w:afterAutospacing="0"/>
        <w:ind w:right="580"/>
        <w:textAlignment w:val="baseline"/>
        <w:rPr>
          <w:rFonts w:ascii="Calibri" w:hAnsi="Calibri" w:cs="Calibri"/>
          <w:color w:val="000000"/>
          <w:sz w:val="22"/>
          <w:szCs w:val="22"/>
        </w:rPr>
      </w:pPr>
    </w:p>
    <w:p w14:paraId="189E4759" w14:textId="3550AEFA" w:rsidR="00232BDE" w:rsidRDefault="00232BDE" w:rsidP="00331425">
      <w:pPr>
        <w:pStyle w:val="NormalWeb"/>
        <w:shd w:val="clear" w:color="auto" w:fill="FFFFFF"/>
        <w:spacing w:before="0" w:beforeAutospacing="0" w:after="0" w:afterAutospacing="0"/>
        <w:ind w:right="580"/>
        <w:textAlignment w:val="baseline"/>
        <w:rPr>
          <w:rFonts w:ascii="Calibri" w:hAnsi="Calibri" w:cs="Calibri"/>
          <w:color w:val="000000"/>
          <w:sz w:val="22"/>
          <w:szCs w:val="22"/>
        </w:rPr>
      </w:pPr>
      <w:r>
        <w:rPr>
          <w:rFonts w:ascii="Calibri" w:hAnsi="Calibri" w:cs="Calibri"/>
          <w:color w:val="000000"/>
          <w:sz w:val="22"/>
          <w:szCs w:val="22"/>
        </w:rPr>
        <w:t>The new rule</w:t>
      </w:r>
      <w:r w:rsidR="00623F13">
        <w:rPr>
          <w:rFonts w:ascii="Calibri" w:hAnsi="Calibri" w:cs="Calibri"/>
          <w:color w:val="000000"/>
          <w:sz w:val="22"/>
          <w:szCs w:val="22"/>
        </w:rPr>
        <w:t xml:space="preserve"> should also </w:t>
      </w:r>
      <w:r w:rsidR="00623F13" w:rsidRPr="00232BDE">
        <w:rPr>
          <w:rFonts w:ascii="Calibri" w:hAnsi="Calibri" w:cs="Calibri"/>
          <w:color w:val="000000"/>
          <w:sz w:val="22"/>
          <w:szCs w:val="22"/>
        </w:rPr>
        <w:t>i</w:t>
      </w:r>
      <w:r w:rsidR="00623F13" w:rsidRPr="00232BDE">
        <w:rPr>
          <w:rFonts w:ascii="Calibri" w:hAnsi="Calibri" w:cs="Calibri"/>
          <w:bCs/>
          <w:color w:val="000000"/>
          <w:sz w:val="22"/>
          <w:szCs w:val="22"/>
        </w:rPr>
        <w:t>dentify and update a list of the programs that do not count</w:t>
      </w:r>
      <w:r w:rsidR="00623F13" w:rsidRPr="00232BDE">
        <w:rPr>
          <w:rFonts w:ascii="Calibri" w:hAnsi="Calibri" w:cs="Calibri"/>
          <w:color w:val="000000"/>
          <w:sz w:val="22"/>
          <w:szCs w:val="22"/>
        </w:rPr>
        <w:t xml:space="preserve"> </w:t>
      </w:r>
      <w:r w:rsidR="00623F13" w:rsidRPr="00232BDE">
        <w:rPr>
          <w:rFonts w:ascii="Calibri" w:hAnsi="Calibri" w:cs="Calibri"/>
          <w:bCs/>
          <w:color w:val="000000"/>
          <w:sz w:val="22"/>
          <w:szCs w:val="22"/>
        </w:rPr>
        <w:t>to minimize the chilling effect</w:t>
      </w:r>
      <w:r w:rsidR="00623F13" w:rsidRPr="00232BDE">
        <w:rPr>
          <w:rFonts w:ascii="Calibri" w:hAnsi="Calibri" w:cs="Calibri"/>
          <w:color w:val="000000"/>
          <w:sz w:val="22"/>
          <w:szCs w:val="22"/>
        </w:rPr>
        <w:t xml:space="preserve">, including specifically </w:t>
      </w:r>
      <w:r w:rsidR="00623F13" w:rsidRPr="00232BDE">
        <w:rPr>
          <w:rFonts w:ascii="Calibri" w:hAnsi="Calibri" w:cs="Calibri"/>
          <w:bCs/>
          <w:color w:val="000000"/>
          <w:sz w:val="22"/>
          <w:szCs w:val="22"/>
        </w:rPr>
        <w:t xml:space="preserve">excluding programs funded completely by state, local, </w:t>
      </w:r>
      <w:proofErr w:type="gramStart"/>
      <w:r w:rsidR="00623F13" w:rsidRPr="00232BDE">
        <w:rPr>
          <w:rFonts w:ascii="Calibri" w:hAnsi="Calibri" w:cs="Calibri"/>
          <w:bCs/>
          <w:color w:val="000000"/>
          <w:sz w:val="22"/>
          <w:szCs w:val="22"/>
        </w:rPr>
        <w:t>tribal</w:t>
      </w:r>
      <w:proofErr w:type="gramEnd"/>
      <w:r w:rsidR="00623F13" w:rsidRPr="00232BDE">
        <w:rPr>
          <w:rFonts w:ascii="Calibri" w:hAnsi="Calibri" w:cs="Calibri"/>
          <w:bCs/>
          <w:color w:val="000000"/>
          <w:sz w:val="22"/>
          <w:szCs w:val="22"/>
        </w:rPr>
        <w:t xml:space="preserve"> and territorial governments, even when they provide cash assistance.</w:t>
      </w:r>
      <w:r w:rsidRPr="00232BDE">
        <w:rPr>
          <w:rFonts w:ascii="Calibri" w:hAnsi="Calibri" w:cs="Calibri"/>
          <w:bCs/>
          <w:color w:val="000000"/>
          <w:sz w:val="22"/>
          <w:szCs w:val="22"/>
        </w:rPr>
        <w:t xml:space="preserve"> The new rule should also e</w:t>
      </w:r>
      <w:r w:rsidR="00623F13" w:rsidRPr="00232BDE">
        <w:rPr>
          <w:rFonts w:ascii="Calibri" w:hAnsi="Calibri" w:cs="Calibri"/>
          <w:bCs/>
          <w:color w:val="000000"/>
          <w:sz w:val="22"/>
          <w:szCs w:val="22"/>
        </w:rPr>
        <w:t>xclude family members’ and sponsors’ use of benefits</w:t>
      </w:r>
      <w:r w:rsidRPr="00232BDE">
        <w:rPr>
          <w:rFonts w:ascii="Calibri" w:hAnsi="Calibri" w:cs="Calibri"/>
          <w:bCs/>
          <w:color w:val="000000"/>
          <w:sz w:val="22"/>
          <w:szCs w:val="22"/>
        </w:rPr>
        <w:t xml:space="preserve"> and m</w:t>
      </w:r>
      <w:r w:rsidR="00623F13" w:rsidRPr="00232BDE">
        <w:rPr>
          <w:rFonts w:ascii="Calibri" w:hAnsi="Calibri" w:cs="Calibri"/>
          <w:color w:val="000000"/>
          <w:sz w:val="22"/>
          <w:szCs w:val="22"/>
        </w:rPr>
        <w:t xml:space="preserve">ake clear that benefits used by an applicant’s family members or sponsors do not count as factors in the applicant’s public charge test. </w:t>
      </w:r>
      <w:r w:rsidRPr="00232BDE">
        <w:rPr>
          <w:rFonts w:ascii="Calibri" w:hAnsi="Calibri" w:cs="Calibri"/>
          <w:color w:val="000000"/>
          <w:sz w:val="22"/>
          <w:szCs w:val="22"/>
        </w:rPr>
        <w:t xml:space="preserve">The new rule should exclude </w:t>
      </w:r>
      <w:r w:rsidR="00623F13" w:rsidRPr="00232BDE">
        <w:rPr>
          <w:rFonts w:ascii="Calibri" w:hAnsi="Calibri" w:cs="Calibri"/>
          <w:bCs/>
          <w:color w:val="000000"/>
          <w:sz w:val="22"/>
          <w:szCs w:val="22"/>
        </w:rPr>
        <w:t>any use of benefits by survivors of domestic violence and other serious crimes or exempt status, and by anyone during public emergencies.</w:t>
      </w:r>
      <w:r w:rsidR="00623F13" w:rsidRPr="00232BDE">
        <w:rPr>
          <w:rFonts w:ascii="Calibri" w:hAnsi="Calibri" w:cs="Calibri"/>
          <w:color w:val="000000"/>
          <w:sz w:val="22"/>
          <w:szCs w:val="22"/>
        </w:rPr>
        <w:t> </w:t>
      </w:r>
      <w:r w:rsidRPr="00232BDE">
        <w:rPr>
          <w:rFonts w:ascii="Calibri" w:hAnsi="Calibri" w:cs="Calibri"/>
          <w:color w:val="000000"/>
          <w:sz w:val="22"/>
          <w:szCs w:val="22"/>
        </w:rPr>
        <w:t xml:space="preserve">Finally, the new rule should specify that </w:t>
      </w:r>
      <w:r w:rsidR="00184B69">
        <w:rPr>
          <w:rFonts w:ascii="Calibri" w:hAnsi="Calibri" w:cs="Calibri"/>
          <w:color w:val="000000"/>
          <w:sz w:val="22"/>
          <w:szCs w:val="22"/>
        </w:rPr>
        <w:t xml:space="preserve">the </w:t>
      </w:r>
      <w:r w:rsidR="00623F13" w:rsidRPr="00232BDE">
        <w:rPr>
          <w:rFonts w:ascii="Calibri" w:hAnsi="Calibri" w:cs="Calibri"/>
          <w:bCs/>
          <w:color w:val="000000"/>
          <w:sz w:val="22"/>
          <w:szCs w:val="22"/>
        </w:rPr>
        <w:t>use of benefits as a child or when in an exempt status will not be included in a public charge determination, nor will benefits</w:t>
      </w:r>
      <w:r w:rsidR="00623F13">
        <w:rPr>
          <w:rFonts w:ascii="Calibri" w:hAnsi="Calibri" w:cs="Calibri"/>
          <w:b/>
          <w:bCs/>
          <w:color w:val="000000"/>
          <w:sz w:val="22"/>
          <w:szCs w:val="22"/>
        </w:rPr>
        <w:t xml:space="preserve"> </w:t>
      </w:r>
      <w:r w:rsidR="00623F13" w:rsidRPr="00232BDE">
        <w:rPr>
          <w:rFonts w:ascii="Calibri" w:hAnsi="Calibri" w:cs="Calibri"/>
          <w:bCs/>
          <w:color w:val="000000"/>
          <w:sz w:val="22"/>
          <w:szCs w:val="22"/>
        </w:rPr>
        <w:t>used when applying for exempt status, regardless of a person’s pathway to that status</w:t>
      </w:r>
      <w:r w:rsidR="00623F13" w:rsidRPr="00232BDE">
        <w:rPr>
          <w:rFonts w:ascii="Calibri" w:hAnsi="Calibri" w:cs="Calibri"/>
          <w:color w:val="000000"/>
          <w:sz w:val="22"/>
          <w:szCs w:val="22"/>
        </w:rPr>
        <w:t>. DHS should propose that benefits received by children—whose long-term economic contributions</w:t>
      </w:r>
      <w:r w:rsidR="00623F13">
        <w:rPr>
          <w:rFonts w:ascii="Calibri" w:hAnsi="Calibri" w:cs="Calibri"/>
          <w:color w:val="000000"/>
          <w:sz w:val="22"/>
          <w:szCs w:val="22"/>
        </w:rPr>
        <w:t xml:space="preserve"> are generally </w:t>
      </w:r>
      <w:r w:rsidR="00623F13">
        <w:rPr>
          <w:rFonts w:ascii="Calibri" w:hAnsi="Calibri" w:cs="Calibri"/>
          <w:i/>
          <w:iCs/>
          <w:color w:val="000000"/>
          <w:sz w:val="22"/>
          <w:szCs w:val="22"/>
        </w:rPr>
        <w:t xml:space="preserve">bolstered </w:t>
      </w:r>
      <w:r w:rsidR="00623F13">
        <w:rPr>
          <w:rFonts w:ascii="Calibri" w:hAnsi="Calibri" w:cs="Calibri"/>
          <w:color w:val="000000"/>
          <w:sz w:val="22"/>
          <w:szCs w:val="22"/>
        </w:rPr>
        <w:t>by childhood receipt of benefits—be excluded from consideration.</w:t>
      </w:r>
    </w:p>
    <w:p w14:paraId="77CD64B2" w14:textId="67D971C3" w:rsidR="00232BDE" w:rsidRDefault="00232BDE" w:rsidP="00331425">
      <w:pPr>
        <w:pStyle w:val="NormalWeb"/>
        <w:shd w:val="clear" w:color="auto" w:fill="FFFFFF"/>
        <w:spacing w:before="0" w:beforeAutospacing="0" w:after="0" w:afterAutospacing="0"/>
        <w:ind w:right="580"/>
        <w:textAlignment w:val="baseline"/>
        <w:rPr>
          <w:rFonts w:ascii="Calibri" w:hAnsi="Calibri" w:cs="Calibri"/>
          <w:color w:val="000000"/>
          <w:sz w:val="22"/>
          <w:szCs w:val="22"/>
        </w:rPr>
      </w:pPr>
    </w:p>
    <w:p w14:paraId="1BEE3A35" w14:textId="4A09630A" w:rsidR="004F423A" w:rsidRDefault="004F423A" w:rsidP="00331425">
      <w:pPr>
        <w:pStyle w:val="NormalWeb"/>
        <w:shd w:val="clear" w:color="auto" w:fill="FFFFFF"/>
        <w:spacing w:before="0" w:beforeAutospacing="0" w:after="0" w:afterAutospacing="0"/>
        <w:ind w:right="580"/>
        <w:textAlignment w:val="baseline"/>
        <w:rPr>
          <w:rFonts w:ascii="Calibri" w:hAnsi="Calibri" w:cs="Calibri"/>
          <w:color w:val="000000"/>
          <w:sz w:val="22"/>
          <w:szCs w:val="22"/>
        </w:rPr>
      </w:pPr>
      <w:r w:rsidRPr="00F30F2F">
        <w:rPr>
          <w:rFonts w:ascii="Calibri" w:hAnsi="Calibri" w:cs="Calibri"/>
          <w:color w:val="000000"/>
          <w:sz w:val="22"/>
          <w:szCs w:val="22"/>
          <w:highlight w:val="yellow"/>
        </w:rPr>
        <w:t xml:space="preserve">[Insert additional considerations/programs that would negatively impact your organization’s mission/goals if they were included </w:t>
      </w:r>
      <w:r w:rsidR="00F46811">
        <w:rPr>
          <w:rFonts w:ascii="Calibri" w:hAnsi="Calibri" w:cs="Calibri"/>
          <w:color w:val="000000"/>
          <w:sz w:val="22"/>
          <w:szCs w:val="22"/>
          <w:highlight w:val="yellow"/>
        </w:rPr>
        <w:t xml:space="preserve">in </w:t>
      </w:r>
      <w:r w:rsidRPr="00F30F2F">
        <w:rPr>
          <w:rFonts w:ascii="Calibri" w:hAnsi="Calibri" w:cs="Calibri"/>
          <w:color w:val="000000"/>
          <w:sz w:val="22"/>
          <w:szCs w:val="22"/>
          <w:highlight w:val="yellow"/>
        </w:rPr>
        <w:t>a public charge inadmissibility test]</w:t>
      </w:r>
    </w:p>
    <w:p w14:paraId="056862C3" w14:textId="7C71B97C" w:rsidR="00623F13" w:rsidRPr="00FA57DC" w:rsidRDefault="00FA57DC" w:rsidP="00331425">
      <w:pPr>
        <w:pStyle w:val="NormalWeb"/>
        <w:numPr>
          <w:ilvl w:val="0"/>
          <w:numId w:val="6"/>
        </w:numPr>
        <w:shd w:val="clear" w:color="auto" w:fill="FFFFFF"/>
        <w:spacing w:before="0" w:beforeAutospacing="0" w:after="0" w:afterAutospacing="0"/>
        <w:ind w:right="580" w:firstLine="0"/>
        <w:textAlignment w:val="baseline"/>
        <w:rPr>
          <w:rFonts w:ascii="Calibri" w:hAnsi="Calibri" w:cs="Calibri"/>
          <w:color w:val="000000"/>
          <w:sz w:val="22"/>
          <w:szCs w:val="22"/>
          <w:u w:val="single"/>
        </w:rPr>
      </w:pPr>
      <w:r w:rsidRPr="00FA57DC">
        <w:rPr>
          <w:rFonts w:ascii="Calibri" w:hAnsi="Calibri" w:cs="Calibri"/>
          <w:color w:val="000000"/>
          <w:sz w:val="22"/>
          <w:szCs w:val="22"/>
          <w:u w:val="single"/>
        </w:rPr>
        <w:t>Consider national laws and policies related to equity and anti-discrimination</w:t>
      </w:r>
      <w:r w:rsidR="00623F13" w:rsidRPr="00FA57DC">
        <w:rPr>
          <w:rFonts w:ascii="Calibri" w:hAnsi="Calibri" w:cs="Calibri"/>
          <w:color w:val="000000"/>
          <w:sz w:val="22"/>
          <w:szCs w:val="22"/>
          <w:u w:val="single"/>
        </w:rPr>
        <w:t xml:space="preserve"> </w:t>
      </w:r>
    </w:p>
    <w:p w14:paraId="064F0188" w14:textId="1FFA6166" w:rsidR="00232BDE" w:rsidRDefault="00232BDE" w:rsidP="00331425">
      <w:pPr>
        <w:pStyle w:val="NormalWeb"/>
        <w:shd w:val="clear" w:color="auto" w:fill="FFFFFF"/>
        <w:spacing w:before="0" w:beforeAutospacing="0" w:after="0" w:afterAutospacing="0"/>
        <w:ind w:right="580"/>
        <w:textAlignment w:val="baseline"/>
        <w:rPr>
          <w:rFonts w:ascii="Calibri" w:hAnsi="Calibri" w:cs="Calibri"/>
          <w:color w:val="000000"/>
          <w:sz w:val="22"/>
          <w:szCs w:val="22"/>
        </w:rPr>
      </w:pPr>
    </w:p>
    <w:p w14:paraId="1B00F0BD" w14:textId="7A8E5FD2" w:rsidR="00623F13" w:rsidRPr="00FA57DC" w:rsidRDefault="00232BDE" w:rsidP="00331425">
      <w:pPr>
        <w:pStyle w:val="NormalWeb"/>
        <w:spacing w:before="0" w:beforeAutospacing="0" w:after="0" w:afterAutospacing="0"/>
        <w:rPr>
          <w:sz w:val="22"/>
          <w:szCs w:val="22"/>
        </w:rPr>
      </w:pPr>
      <w:r w:rsidRPr="00FA57DC">
        <w:rPr>
          <w:rFonts w:ascii="Calibri" w:hAnsi="Calibri" w:cs="Calibri"/>
          <w:color w:val="000000"/>
          <w:sz w:val="22"/>
          <w:szCs w:val="22"/>
        </w:rPr>
        <w:t>When defining public charge, DHS should take into account two key national policies when promulgating the new rule: t</w:t>
      </w:r>
      <w:r w:rsidRPr="00232BDE">
        <w:rPr>
          <w:rFonts w:ascii="Calibri" w:hAnsi="Calibri" w:cs="Calibri"/>
          <w:color w:val="000000"/>
          <w:sz w:val="22"/>
          <w:szCs w:val="22"/>
        </w:rPr>
        <w:t>he Biden administration’s racial equity Executive Order requires federal agencies including DHS to promote equitable delivery of government benefits (including immigration benefits</w:t>
      </w:r>
      <w:r w:rsidRPr="00FA57DC">
        <w:rPr>
          <w:rFonts w:ascii="Calibri" w:hAnsi="Calibri" w:cs="Calibri"/>
          <w:color w:val="000000"/>
          <w:sz w:val="22"/>
          <w:szCs w:val="22"/>
        </w:rPr>
        <w:t xml:space="preserve">, housing, </w:t>
      </w:r>
      <w:r w:rsidRPr="00232BDE">
        <w:rPr>
          <w:rFonts w:ascii="Calibri" w:hAnsi="Calibri" w:cs="Calibri"/>
          <w:color w:val="000000"/>
          <w:sz w:val="22"/>
          <w:szCs w:val="22"/>
        </w:rPr>
        <w:t xml:space="preserve"> health</w:t>
      </w:r>
      <w:r w:rsidRPr="00FA57DC">
        <w:rPr>
          <w:rFonts w:ascii="Calibri" w:hAnsi="Calibri" w:cs="Calibri"/>
          <w:color w:val="000000"/>
          <w:sz w:val="22"/>
          <w:szCs w:val="22"/>
        </w:rPr>
        <w:t>,</w:t>
      </w:r>
      <w:r w:rsidRPr="00232BDE">
        <w:rPr>
          <w:rFonts w:ascii="Calibri" w:hAnsi="Calibri" w:cs="Calibri"/>
          <w:color w:val="000000"/>
          <w:sz w:val="22"/>
          <w:szCs w:val="22"/>
        </w:rPr>
        <w:t xml:space="preserve"> and nutrition benefits)</w:t>
      </w:r>
      <w:r w:rsidRPr="00FA57DC">
        <w:rPr>
          <w:rFonts w:ascii="Calibri" w:hAnsi="Calibri" w:cs="Calibri"/>
          <w:color w:val="000000"/>
          <w:sz w:val="22"/>
          <w:szCs w:val="22"/>
        </w:rPr>
        <w:t xml:space="preserve">; </w:t>
      </w:r>
      <w:r w:rsidRPr="00232BDE">
        <w:rPr>
          <w:rFonts w:ascii="Calibri" w:hAnsi="Calibri" w:cs="Calibri"/>
          <w:color w:val="000000"/>
          <w:sz w:val="22"/>
          <w:szCs w:val="22"/>
        </w:rPr>
        <w:t> </w:t>
      </w:r>
      <w:r w:rsidRPr="00FA57DC">
        <w:rPr>
          <w:rFonts w:ascii="Calibri" w:hAnsi="Calibri" w:cs="Calibri"/>
          <w:color w:val="000000"/>
          <w:sz w:val="22"/>
          <w:szCs w:val="22"/>
        </w:rPr>
        <w:t>Section 504 of the</w:t>
      </w:r>
      <w:r w:rsidRPr="00232BDE">
        <w:rPr>
          <w:rFonts w:ascii="Calibri" w:hAnsi="Calibri" w:cs="Calibri"/>
          <w:color w:val="000000"/>
          <w:sz w:val="22"/>
          <w:szCs w:val="22"/>
        </w:rPr>
        <w:t xml:space="preserve"> Rehabilitation Act</w:t>
      </w:r>
      <w:r w:rsidRPr="00FA57DC">
        <w:rPr>
          <w:rFonts w:ascii="Calibri" w:hAnsi="Calibri" w:cs="Calibri"/>
          <w:color w:val="000000"/>
          <w:sz w:val="22"/>
          <w:szCs w:val="22"/>
        </w:rPr>
        <w:t>, which</w:t>
      </w:r>
      <w:r w:rsidRPr="00232BDE">
        <w:rPr>
          <w:rFonts w:ascii="Calibri" w:hAnsi="Calibri" w:cs="Calibri"/>
          <w:color w:val="000000"/>
          <w:sz w:val="22"/>
          <w:szCs w:val="22"/>
        </w:rPr>
        <w:t xml:space="preserve"> </w:t>
      </w:r>
      <w:r w:rsidRPr="00232BDE">
        <w:rPr>
          <w:rFonts w:ascii="Calibri" w:hAnsi="Calibri" w:cs="Calibri"/>
          <w:color w:val="000000"/>
          <w:sz w:val="22"/>
          <w:szCs w:val="22"/>
          <w:shd w:val="clear" w:color="auto" w:fill="FFFFFF"/>
        </w:rPr>
        <w:t>prohibits discrimination</w:t>
      </w:r>
      <w:r w:rsidRPr="00FA57DC">
        <w:rPr>
          <w:rFonts w:ascii="Calibri" w:hAnsi="Calibri" w:cs="Calibri"/>
          <w:color w:val="000000"/>
          <w:sz w:val="22"/>
          <w:szCs w:val="22"/>
          <w:shd w:val="clear" w:color="auto" w:fill="FFFFFF"/>
        </w:rPr>
        <w:t xml:space="preserve"> (regardless of national origin or U.S. citizenship)</w:t>
      </w:r>
      <w:r w:rsidRPr="00232BDE">
        <w:rPr>
          <w:rFonts w:ascii="Calibri" w:hAnsi="Calibri" w:cs="Calibri"/>
          <w:color w:val="000000"/>
          <w:sz w:val="22"/>
          <w:szCs w:val="22"/>
          <w:shd w:val="clear" w:color="auto" w:fill="FFFFFF"/>
        </w:rPr>
        <w:t xml:space="preserve"> </w:t>
      </w:r>
      <w:r w:rsidR="00F46811">
        <w:rPr>
          <w:rFonts w:ascii="Calibri" w:hAnsi="Calibri" w:cs="Calibri"/>
          <w:color w:val="000000"/>
          <w:sz w:val="22"/>
          <w:szCs w:val="22"/>
          <w:shd w:val="clear" w:color="auto" w:fill="FFFFFF"/>
        </w:rPr>
        <w:t>based on</w:t>
      </w:r>
      <w:r w:rsidRPr="00232BDE">
        <w:rPr>
          <w:rFonts w:ascii="Calibri" w:hAnsi="Calibri" w:cs="Calibri"/>
          <w:color w:val="000000"/>
          <w:sz w:val="22"/>
          <w:szCs w:val="22"/>
          <w:shd w:val="clear" w:color="auto" w:fill="FFFFFF"/>
        </w:rPr>
        <w:t xml:space="preserve"> disability in programs conducted by federal agencies – including the Department of Homeland Security -- these protections exist regardless of national origin or U.S. citizenship.</w:t>
      </w:r>
    </w:p>
    <w:p w14:paraId="7CAF6A63" w14:textId="77777777" w:rsidR="00331425" w:rsidRDefault="00331425" w:rsidP="00331425">
      <w:pPr>
        <w:spacing w:after="0" w:line="240" w:lineRule="auto"/>
        <w:rPr>
          <w:rFonts w:ascii="Calibri" w:eastAsia="Calibri" w:hAnsi="Calibri" w:cs="Calibri"/>
          <w:b/>
          <w:bCs/>
          <w:u w:val="single"/>
        </w:rPr>
      </w:pPr>
    </w:p>
    <w:p w14:paraId="33B843FA" w14:textId="0CFA695A" w:rsidR="008B7375" w:rsidRDefault="009E753D" w:rsidP="00331425">
      <w:pPr>
        <w:spacing w:after="0" w:line="240" w:lineRule="auto"/>
        <w:rPr>
          <w:rFonts w:ascii="Calibri" w:eastAsia="Calibri" w:hAnsi="Calibri" w:cs="Calibri"/>
          <w:b/>
          <w:bCs/>
          <w:u w:val="single"/>
        </w:rPr>
      </w:pPr>
      <w:r>
        <w:rPr>
          <w:rFonts w:ascii="Calibri" w:eastAsia="Calibri" w:hAnsi="Calibri" w:cs="Calibri"/>
          <w:b/>
          <w:bCs/>
          <w:u w:val="single"/>
        </w:rPr>
        <w:lastRenderedPageBreak/>
        <w:t>H</w:t>
      </w:r>
      <w:r w:rsidR="00651D6A">
        <w:rPr>
          <w:rFonts w:ascii="Calibri" w:eastAsia="Calibri" w:hAnsi="Calibri" w:cs="Calibri"/>
          <w:b/>
          <w:bCs/>
          <w:u w:val="single"/>
        </w:rPr>
        <w:t>ousing stability is critical to getting families on a pathway to self-sufficiency and leads to better life outcomes.</w:t>
      </w:r>
    </w:p>
    <w:p w14:paraId="7DA8552B" w14:textId="77777777" w:rsidR="00B11729" w:rsidRPr="0032186D" w:rsidRDefault="00B11729" w:rsidP="00331425">
      <w:pPr>
        <w:spacing w:after="0" w:line="240" w:lineRule="auto"/>
        <w:rPr>
          <w:rFonts w:ascii="Calibri" w:eastAsia="Calibri" w:hAnsi="Calibri" w:cs="Calibri"/>
          <w:b/>
          <w:bCs/>
          <w:u w:val="single"/>
        </w:rPr>
      </w:pPr>
    </w:p>
    <w:p w14:paraId="5FAD13AF" w14:textId="0CBBE299" w:rsidR="00ED203F" w:rsidRPr="001F4D54" w:rsidRDefault="00FA57DC" w:rsidP="00331425">
      <w:pPr>
        <w:autoSpaceDE w:val="0"/>
        <w:autoSpaceDN w:val="0"/>
        <w:adjustRightInd w:val="0"/>
        <w:spacing w:after="0" w:line="240" w:lineRule="auto"/>
        <w:rPr>
          <w:rFonts w:ascii="Helvetica" w:hAnsi="Helvetica" w:cs="Helvetica"/>
          <w:sz w:val="20"/>
          <w:szCs w:val="20"/>
        </w:rPr>
      </w:pPr>
      <w:r>
        <w:rPr>
          <w:rFonts w:ascii="Calibri" w:eastAsia="Calibri" w:hAnsi="Calibri" w:cs="Calibri"/>
          <w:lang w:val="en"/>
        </w:rPr>
        <w:t xml:space="preserve">Tying the use of housing supports or homelessness assistance to a public charge determination could have </w:t>
      </w:r>
      <w:r w:rsidR="00F46811">
        <w:rPr>
          <w:rFonts w:ascii="Calibri" w:eastAsia="Calibri" w:hAnsi="Calibri" w:cs="Calibri"/>
          <w:lang w:val="en"/>
        </w:rPr>
        <w:t xml:space="preserve">been </w:t>
      </w:r>
      <w:r>
        <w:rPr>
          <w:rFonts w:ascii="Calibri" w:eastAsia="Calibri" w:hAnsi="Calibri" w:cs="Calibri"/>
          <w:lang w:val="en"/>
        </w:rPr>
        <w:t xml:space="preserve">disastrous not only </w:t>
      </w:r>
      <w:r w:rsidR="00F46811">
        <w:rPr>
          <w:rFonts w:ascii="Calibri" w:eastAsia="Calibri" w:hAnsi="Calibri" w:cs="Calibri"/>
          <w:lang w:val="en"/>
        </w:rPr>
        <w:t>for</w:t>
      </w:r>
      <w:r>
        <w:rPr>
          <w:rFonts w:ascii="Calibri" w:eastAsia="Calibri" w:hAnsi="Calibri" w:cs="Calibri"/>
          <w:lang w:val="en"/>
        </w:rPr>
        <w:t xml:space="preserve"> that individual but </w:t>
      </w:r>
      <w:r w:rsidR="00F46811">
        <w:rPr>
          <w:rFonts w:ascii="Calibri" w:eastAsia="Calibri" w:hAnsi="Calibri" w:cs="Calibri"/>
          <w:lang w:val="en"/>
        </w:rPr>
        <w:t>for</w:t>
      </w:r>
      <w:r>
        <w:rPr>
          <w:rFonts w:ascii="Calibri" w:eastAsia="Calibri" w:hAnsi="Calibri" w:cs="Calibri"/>
          <w:lang w:val="en"/>
        </w:rPr>
        <w:t xml:space="preserve"> a whole family. </w:t>
      </w:r>
      <w:r w:rsidR="0032186D">
        <w:rPr>
          <w:rFonts w:ascii="Calibri" w:eastAsia="Calibri" w:hAnsi="Calibri" w:cs="Calibri"/>
          <w:lang w:val="en"/>
        </w:rPr>
        <w:t>When families struggle to find stable housing</w:t>
      </w:r>
      <w:r w:rsidR="00ED203F" w:rsidRPr="4CD7732E">
        <w:rPr>
          <w:rFonts w:ascii="Calibri" w:eastAsia="Calibri" w:hAnsi="Calibri" w:cs="Calibri"/>
          <w:lang w:val="en"/>
        </w:rPr>
        <w:t xml:space="preserve"> in the short term, </w:t>
      </w:r>
      <w:r w:rsidR="0032186D">
        <w:rPr>
          <w:rFonts w:ascii="Calibri" w:eastAsia="Calibri" w:hAnsi="Calibri" w:cs="Calibri"/>
          <w:lang w:val="en"/>
        </w:rPr>
        <w:t>it can</w:t>
      </w:r>
      <w:r w:rsidR="00ED203F" w:rsidRPr="4CD7732E">
        <w:rPr>
          <w:rFonts w:ascii="Calibri" w:eastAsia="Calibri" w:hAnsi="Calibri" w:cs="Calibri"/>
          <w:lang w:val="en"/>
        </w:rPr>
        <w:t xml:space="preserve"> lead to reduced opportunities and increased health problems for these </w:t>
      </w:r>
      <w:hyperlink r:id="rId11">
        <w:r w:rsidR="00ED203F" w:rsidRPr="4CD7732E">
          <w:rPr>
            <w:rFonts w:ascii="Calibri" w:eastAsia="Calibri" w:hAnsi="Calibri" w:cs="Calibri"/>
            <w:lang w:val="en"/>
          </w:rPr>
          <w:t>families in the long term</w:t>
        </w:r>
      </w:hyperlink>
      <w:r w:rsidR="00ED203F" w:rsidRPr="4CD7732E">
        <w:rPr>
          <w:rFonts w:ascii="Calibri" w:eastAsia="Calibri" w:hAnsi="Calibri" w:cs="Calibri"/>
          <w:lang w:val="en"/>
        </w:rPr>
        <w:t>.</w:t>
      </w:r>
      <w:r w:rsidR="00ED203F" w:rsidRPr="4CD7732E">
        <w:rPr>
          <w:rStyle w:val="FootnoteReference"/>
          <w:rFonts w:ascii="Calibri" w:eastAsia="Calibri" w:hAnsi="Calibri" w:cs="Calibri"/>
          <w:lang w:val="en"/>
        </w:rPr>
        <w:footnoteReference w:id="2"/>
      </w:r>
      <w:r w:rsidR="008B7375">
        <w:rPr>
          <w:rFonts w:ascii="Calibri" w:eastAsia="Calibri" w:hAnsi="Calibri" w:cs="Calibri"/>
          <w:lang w:val="en"/>
        </w:rPr>
        <w:t xml:space="preserve"> </w:t>
      </w:r>
      <w:r w:rsidR="008B7375">
        <w:t>Studies have shown that unstable housing situations can cause individuals to experience increased hospital visits, loss of employment, and mental health problems.</w:t>
      </w:r>
      <w:r w:rsidR="008B7375">
        <w:rPr>
          <w:rStyle w:val="FootnoteReference"/>
        </w:rPr>
        <w:footnoteReference w:id="3"/>
      </w:r>
      <w:r w:rsidR="008B7375">
        <w:t xml:space="preserve"> Having safe and stable housing is crucial to a person’s good health, sustaining employment, and overall self-sufficiency. </w:t>
      </w:r>
      <w:r w:rsidR="00ED203F" w:rsidRPr="4CD7732E">
        <w:rPr>
          <w:rFonts w:ascii="Calibri" w:eastAsia="Calibri" w:hAnsi="Calibri" w:cs="Calibri"/>
          <w:lang w:val="en"/>
        </w:rPr>
        <w:t xml:space="preserve"> These effects will be particularly </w:t>
      </w:r>
      <w:r w:rsidR="008B7375">
        <w:rPr>
          <w:rFonts w:ascii="Calibri" w:eastAsia="Calibri" w:hAnsi="Calibri" w:cs="Calibri"/>
          <w:lang w:val="en"/>
        </w:rPr>
        <w:t>prominent</w:t>
      </w:r>
      <w:r w:rsidR="00ED203F" w:rsidRPr="4CD7732E">
        <w:rPr>
          <w:rFonts w:ascii="Calibri" w:eastAsia="Calibri" w:hAnsi="Calibri" w:cs="Calibri"/>
          <w:lang w:val="en"/>
        </w:rPr>
        <w:t xml:space="preserve"> </w:t>
      </w:r>
      <w:r w:rsidR="008B7375">
        <w:rPr>
          <w:rFonts w:ascii="Calibri" w:eastAsia="Calibri" w:hAnsi="Calibri" w:cs="Calibri"/>
          <w:lang w:val="en"/>
        </w:rPr>
        <w:t>in</w:t>
      </w:r>
      <w:r w:rsidR="00ED203F" w:rsidRPr="4CD7732E">
        <w:rPr>
          <w:rFonts w:ascii="Calibri" w:eastAsia="Calibri" w:hAnsi="Calibri" w:cs="Calibri"/>
          <w:lang w:val="en"/>
        </w:rPr>
        <w:t xml:space="preserve"> children</w:t>
      </w:r>
      <w:r w:rsidR="008B7375">
        <w:rPr>
          <w:rFonts w:ascii="Calibri" w:eastAsia="Calibri" w:hAnsi="Calibri" w:cs="Calibri"/>
          <w:lang w:val="en"/>
        </w:rPr>
        <w:t>, many of whom are U.S. citizens,</w:t>
      </w:r>
      <w:r w:rsidR="00ED203F" w:rsidRPr="4CD7732E">
        <w:rPr>
          <w:rFonts w:ascii="Calibri" w:eastAsia="Calibri" w:hAnsi="Calibri" w:cs="Calibri"/>
          <w:lang w:val="en"/>
        </w:rPr>
        <w:t xml:space="preserve"> </w:t>
      </w:r>
      <w:r w:rsidR="008B7375">
        <w:rPr>
          <w:rFonts w:ascii="Calibri" w:eastAsia="Calibri" w:hAnsi="Calibri" w:cs="Calibri"/>
          <w:lang w:val="en"/>
        </w:rPr>
        <w:t>who are part of</w:t>
      </w:r>
      <w:r w:rsidR="00ED203F" w:rsidRPr="4CD7732E">
        <w:rPr>
          <w:rFonts w:ascii="Calibri" w:eastAsia="Calibri" w:hAnsi="Calibri" w:cs="Calibri"/>
          <w:lang w:val="en"/>
        </w:rPr>
        <w:t xml:space="preserve"> immigrant families. </w:t>
      </w:r>
      <w:r w:rsidR="00E82237">
        <w:rPr>
          <w:rFonts w:ascii="Calibri" w:eastAsia="Calibri" w:hAnsi="Calibri" w:cs="Calibri"/>
          <w:lang w:val="en"/>
        </w:rPr>
        <w:t>Research has</w:t>
      </w:r>
      <w:r w:rsidR="00ED203F" w:rsidRPr="4CD7732E">
        <w:rPr>
          <w:rFonts w:ascii="Calibri" w:eastAsia="Calibri" w:hAnsi="Calibri" w:cs="Calibri"/>
          <w:lang w:val="en"/>
        </w:rPr>
        <w:t xml:space="preserve"> shown that economic and housing instability </w:t>
      </w:r>
      <w:hyperlink r:id="rId12">
        <w:r w:rsidR="00ED203F" w:rsidRPr="4CD7732E">
          <w:rPr>
            <w:rFonts w:ascii="Calibri" w:eastAsia="Calibri" w:hAnsi="Calibri" w:cs="Calibri"/>
            <w:lang w:val="en"/>
          </w:rPr>
          <w:t>negatively impacts children’s cognitive development</w:t>
        </w:r>
      </w:hyperlink>
      <w:r w:rsidR="00ED203F" w:rsidRPr="4CD7732E">
        <w:rPr>
          <w:rFonts w:ascii="Calibri" w:eastAsia="Calibri" w:hAnsi="Calibri" w:cs="Calibri"/>
          <w:lang w:val="en"/>
        </w:rPr>
        <w:t xml:space="preserve">, leading to poorer </w:t>
      </w:r>
      <w:r w:rsidR="008B7375">
        <w:rPr>
          <w:rFonts w:ascii="Calibri" w:eastAsia="Calibri" w:hAnsi="Calibri" w:cs="Calibri"/>
          <w:lang w:val="en"/>
        </w:rPr>
        <w:t xml:space="preserve">life </w:t>
      </w:r>
      <w:r w:rsidR="00ED203F" w:rsidRPr="4CD7732E">
        <w:rPr>
          <w:rFonts w:ascii="Calibri" w:eastAsia="Calibri" w:hAnsi="Calibri" w:cs="Calibri"/>
          <w:lang w:val="en"/>
        </w:rPr>
        <w:t>outcomes as adults.</w:t>
      </w:r>
      <w:r w:rsidR="00ED203F" w:rsidRPr="4CD7732E">
        <w:rPr>
          <w:rStyle w:val="FootnoteReference"/>
        </w:rPr>
        <w:footnoteReference w:id="4"/>
      </w:r>
      <w:r w:rsidR="009E753D">
        <w:rPr>
          <w:rFonts w:ascii="Calibri" w:eastAsia="Calibri" w:hAnsi="Calibri" w:cs="Calibri"/>
          <w:lang w:val="en"/>
        </w:rPr>
        <w:t xml:space="preserve"> </w:t>
      </w:r>
    </w:p>
    <w:p w14:paraId="2DE3A2B7" w14:textId="6053D261" w:rsidR="00ED203F" w:rsidRDefault="00ED203F" w:rsidP="00331425">
      <w:pPr>
        <w:spacing w:after="0" w:line="240" w:lineRule="auto"/>
        <w:rPr>
          <w:rFonts w:ascii="Calibri" w:eastAsia="Calibri" w:hAnsi="Calibri" w:cs="Calibri"/>
          <w:lang w:val="en"/>
        </w:rPr>
      </w:pPr>
    </w:p>
    <w:p w14:paraId="37F03A08" w14:textId="77777777" w:rsidR="0032186D" w:rsidRPr="00CF3AE5" w:rsidRDefault="0032186D" w:rsidP="00331425">
      <w:pPr>
        <w:spacing w:after="0" w:line="240" w:lineRule="auto"/>
        <w:rPr>
          <w:rFonts w:ascii="Calibri" w:eastAsia="Calibri" w:hAnsi="Calibri"/>
        </w:rPr>
      </w:pPr>
      <w:r w:rsidRPr="00CF3AE5">
        <w:rPr>
          <w:rFonts w:ascii="Calibri" w:eastAsia="Calibri" w:hAnsi="Calibri"/>
        </w:rPr>
        <w:t xml:space="preserve">Housing is the cornerstone of what every person needs to survive and thrive. It impacts every aspect of our lives— education, health, economic security, and more. Yet millions of people across the country struggle to afford housing. Today, one in four renters in America is spending more than half of their income on rent, and homelessness rates are rising in many communities across the country as growing numbers of people are unable to find an affordable home. The ongoing pandemic has shown how important it is for families to have a secure and safe place to isolate from the virus as well. </w:t>
      </w:r>
    </w:p>
    <w:p w14:paraId="15EF1622" w14:textId="6A9155FF" w:rsidR="0032186D" w:rsidRPr="00CF3AE5" w:rsidRDefault="0032186D" w:rsidP="00F30F2F">
      <w:pPr>
        <w:spacing w:line="240" w:lineRule="auto"/>
        <w:rPr>
          <w:rFonts w:ascii="Calibri" w:eastAsia="Calibri" w:hAnsi="Calibri"/>
        </w:rPr>
      </w:pPr>
      <w:r w:rsidRPr="00CF3AE5">
        <w:rPr>
          <w:rFonts w:ascii="Calibri" w:eastAsia="Calibri" w:hAnsi="Calibri"/>
        </w:rPr>
        <w:t xml:space="preserve">A robust body of research has shown that access to affordable housing has broad, positive impacts on families, seniors, people with disabilities, and the economy. Having safe and stable housing is crucial to a person’s health, sustaining employment, and overall self-sufficiency. </w:t>
      </w:r>
    </w:p>
    <w:p w14:paraId="64030603" w14:textId="26A356F4" w:rsidR="0032186D" w:rsidRPr="00CF3AE5" w:rsidRDefault="0032186D" w:rsidP="00331425">
      <w:pPr>
        <w:spacing w:after="0" w:line="240" w:lineRule="auto"/>
        <w:rPr>
          <w:rFonts w:ascii="Calibri" w:eastAsia="Calibri" w:hAnsi="Calibri"/>
        </w:rPr>
      </w:pPr>
      <w:r w:rsidRPr="00CF3AE5">
        <w:rPr>
          <w:rFonts w:ascii="Calibri" w:eastAsia="Calibri" w:hAnsi="Calibri"/>
        </w:rPr>
        <w:t>Children who live in a stable, affordable home enjoy better health and educational outcomes, greater access to economic opportunities, enjoy better mental and physical well-being and benefit from stronger communities.</w:t>
      </w:r>
      <w:r w:rsidRPr="00CF3AE5">
        <w:rPr>
          <w:rFonts w:ascii="Calibri" w:eastAsia="Calibri" w:hAnsi="Calibri"/>
          <w:vertAlign w:val="superscript"/>
        </w:rPr>
        <w:footnoteReference w:id="5"/>
      </w:r>
      <w:r w:rsidRPr="00CF3AE5">
        <w:rPr>
          <w:rFonts w:ascii="Calibri" w:eastAsia="Calibri" w:hAnsi="Calibri"/>
        </w:rPr>
        <w:t xml:space="preserve"> In fact, out of households currently receiving rental assistance, more than 40 percent include children.</w:t>
      </w:r>
      <w:r w:rsidRPr="00CF3AE5">
        <w:rPr>
          <w:rFonts w:ascii="Calibri" w:eastAsia="Calibri" w:hAnsi="Calibri"/>
          <w:vertAlign w:val="superscript"/>
        </w:rPr>
        <w:footnoteReference w:id="6"/>
      </w:r>
      <w:r w:rsidRPr="00CF3AE5">
        <w:rPr>
          <w:rFonts w:ascii="Calibri" w:eastAsia="Calibri" w:hAnsi="Calibri"/>
        </w:rPr>
        <w:t xml:space="preserve"> Housing assistance lifts about a million children out of poverty each year,</w:t>
      </w:r>
      <w:r w:rsidRPr="00CF3AE5">
        <w:rPr>
          <w:rFonts w:ascii="Calibri" w:eastAsia="Calibri" w:hAnsi="Calibri"/>
          <w:vertAlign w:val="superscript"/>
        </w:rPr>
        <w:footnoteReference w:id="7"/>
      </w:r>
      <w:r w:rsidRPr="00CF3AE5">
        <w:rPr>
          <w:rFonts w:ascii="Calibri" w:eastAsia="Calibri" w:hAnsi="Calibri"/>
        </w:rPr>
        <w:t xml:space="preserve"> and can improve a child’s chances for long-term economic mobility—one study finds that children in households receiving Housing Choice vouchers have higher adult earnings and a lower chance of incarceration.</w:t>
      </w:r>
      <w:r w:rsidRPr="00CF3AE5">
        <w:rPr>
          <w:rFonts w:ascii="Calibri" w:eastAsia="Calibri" w:hAnsi="Calibri"/>
          <w:vertAlign w:val="superscript"/>
        </w:rPr>
        <w:footnoteReference w:id="8"/>
      </w:r>
      <w:r w:rsidRPr="00CF3AE5">
        <w:rPr>
          <w:rFonts w:ascii="Calibri" w:eastAsia="Calibri" w:hAnsi="Calibri"/>
        </w:rPr>
        <w:t xml:space="preserve"> </w:t>
      </w:r>
    </w:p>
    <w:p w14:paraId="348615CF" w14:textId="138AC1A5" w:rsidR="00651D6A" w:rsidRDefault="00623F13" w:rsidP="00331425">
      <w:pPr>
        <w:spacing w:after="0" w:line="240" w:lineRule="auto"/>
      </w:pPr>
      <w:r w:rsidRPr="00E07CFB">
        <w:rPr>
          <w:rFonts w:ascii="Calibri" w:eastAsia="Calibri" w:hAnsi="Calibri" w:cs="Calibri"/>
          <w:highlight w:val="yellow"/>
          <w:lang w:val="en"/>
        </w:rPr>
        <w:lastRenderedPageBreak/>
        <w:t xml:space="preserve"> </w:t>
      </w:r>
      <w:r w:rsidR="00ED203F" w:rsidRPr="00E07CFB">
        <w:rPr>
          <w:rFonts w:ascii="Calibri" w:eastAsia="Calibri" w:hAnsi="Calibri" w:cs="Calibri"/>
          <w:highlight w:val="yellow"/>
          <w:lang w:val="en"/>
        </w:rPr>
        <w:t xml:space="preserve">[Insert stories </w:t>
      </w:r>
      <w:r w:rsidR="008075EC">
        <w:rPr>
          <w:rFonts w:ascii="Calibri" w:eastAsia="Calibri" w:hAnsi="Calibri" w:cs="Calibri"/>
          <w:highlight w:val="yellow"/>
          <w:lang w:val="en"/>
        </w:rPr>
        <w:t>illustrating</w:t>
      </w:r>
      <w:r w:rsidR="00ED203F" w:rsidRPr="00E07CFB">
        <w:rPr>
          <w:rFonts w:ascii="Calibri" w:eastAsia="Calibri" w:hAnsi="Calibri" w:cs="Calibri"/>
          <w:highlight w:val="yellow"/>
          <w:lang w:val="en"/>
        </w:rPr>
        <w:t xml:space="preserve"> why </w:t>
      </w:r>
      <w:r w:rsidR="00B46792">
        <w:rPr>
          <w:rFonts w:ascii="Calibri" w:eastAsia="Calibri" w:hAnsi="Calibri" w:cs="Calibri"/>
          <w:highlight w:val="yellow"/>
          <w:lang w:val="en"/>
        </w:rPr>
        <w:t xml:space="preserve">safe and affordable housing </w:t>
      </w:r>
      <w:r w:rsidR="00ED203F" w:rsidRPr="00E07CFB">
        <w:rPr>
          <w:rFonts w:ascii="Calibri" w:eastAsia="Calibri" w:hAnsi="Calibri" w:cs="Calibri"/>
          <w:highlight w:val="yellow"/>
          <w:lang w:val="en"/>
        </w:rPr>
        <w:t>is critical for your clients</w:t>
      </w:r>
      <w:r w:rsidR="008075EC">
        <w:rPr>
          <w:rFonts w:ascii="Calibri" w:eastAsia="Calibri" w:hAnsi="Calibri" w:cs="Calibri"/>
          <w:highlight w:val="yellow"/>
          <w:lang w:val="en"/>
        </w:rPr>
        <w:t xml:space="preserve"> or tenants</w:t>
      </w:r>
      <w:r w:rsidR="00ED203F" w:rsidRPr="00E07CFB">
        <w:rPr>
          <w:rFonts w:ascii="Calibri" w:eastAsia="Calibri" w:hAnsi="Calibri" w:cs="Calibri"/>
          <w:highlight w:val="yellow"/>
          <w:lang w:val="en"/>
        </w:rPr>
        <w:t>.]</w:t>
      </w:r>
    </w:p>
    <w:p w14:paraId="02CAE08A" w14:textId="77777777" w:rsidR="00FA57DC" w:rsidRDefault="00FA57DC" w:rsidP="00331425">
      <w:pPr>
        <w:spacing w:after="0" w:line="240" w:lineRule="auto"/>
        <w:rPr>
          <w:rFonts w:ascii="Calibri" w:eastAsia="Calibri" w:hAnsi="Calibri" w:cs="Calibri"/>
        </w:rPr>
      </w:pPr>
    </w:p>
    <w:p w14:paraId="4D2B1571" w14:textId="7566C61B" w:rsidR="00FA57DC" w:rsidRPr="00FA57DC" w:rsidRDefault="00FA57DC" w:rsidP="00331425">
      <w:pPr>
        <w:spacing w:after="0" w:line="240" w:lineRule="auto"/>
        <w:rPr>
          <w:rFonts w:ascii="Calibri" w:eastAsia="Calibri" w:hAnsi="Calibri" w:cs="Calibri"/>
        </w:rPr>
      </w:pPr>
      <w:r w:rsidRPr="00FA57DC">
        <w:rPr>
          <w:rFonts w:ascii="Calibri" w:eastAsia="Calibri" w:hAnsi="Calibri" w:cs="Calibri"/>
        </w:rPr>
        <w:t xml:space="preserve">For these reasons, we specifically call upon DHS not to include any housing or homelessness assistance programs as a covered program and to make explicitly clear that these programs do not count towards a public charge determination. </w:t>
      </w:r>
    </w:p>
    <w:p w14:paraId="2DB4E892" w14:textId="77777777" w:rsidR="00B11729" w:rsidRDefault="00B11729" w:rsidP="00331425">
      <w:pPr>
        <w:spacing w:after="0" w:line="240" w:lineRule="auto"/>
        <w:rPr>
          <w:rFonts w:ascii="Calibri" w:eastAsia="Calibri" w:hAnsi="Calibri" w:cs="Calibri"/>
          <w:highlight w:val="yellow"/>
        </w:rPr>
      </w:pPr>
    </w:p>
    <w:p w14:paraId="2A7C1746" w14:textId="3DD84AA8" w:rsidR="4CD7732E" w:rsidRDefault="4CD7732E" w:rsidP="00331425">
      <w:pPr>
        <w:spacing w:after="0" w:line="240" w:lineRule="auto"/>
        <w:rPr>
          <w:rFonts w:ascii="Calibri" w:eastAsia="Calibri" w:hAnsi="Calibri" w:cs="Calibri"/>
          <w:b/>
          <w:bCs/>
          <w:highlight w:val="yellow"/>
          <w:u w:val="single"/>
        </w:rPr>
      </w:pPr>
      <w:r w:rsidRPr="4CD7732E">
        <w:rPr>
          <w:rFonts w:ascii="Calibri" w:eastAsia="Calibri" w:hAnsi="Calibri" w:cs="Calibri"/>
          <w:highlight w:val="yellow"/>
        </w:rPr>
        <w:t>[</w:t>
      </w:r>
      <w:r w:rsidRPr="4CD7732E">
        <w:rPr>
          <w:rFonts w:ascii="Calibri" w:eastAsia="Calibri" w:hAnsi="Calibri" w:cs="Calibri"/>
          <w:b/>
          <w:bCs/>
          <w:highlight w:val="yellow"/>
          <w:u w:val="single"/>
        </w:rPr>
        <w:t>Additional issues you’d like to raise.]</w:t>
      </w:r>
    </w:p>
    <w:p w14:paraId="254BA880" w14:textId="1C8C6AF5" w:rsidR="00426DBC" w:rsidRPr="00DB5EE1" w:rsidRDefault="4CD7732E" w:rsidP="00331425">
      <w:pPr>
        <w:spacing w:after="0" w:line="240" w:lineRule="auto"/>
        <w:rPr>
          <w:rFonts w:ascii="Calibri" w:eastAsia="Calibri" w:hAnsi="Calibri" w:cs="Calibri"/>
          <w:b/>
          <w:bCs/>
          <w:u w:val="single"/>
        </w:rPr>
      </w:pPr>
      <w:r w:rsidRPr="4CD7732E">
        <w:rPr>
          <w:rFonts w:ascii="Calibri" w:eastAsia="Calibri" w:hAnsi="Calibri" w:cs="Calibri"/>
          <w:highlight w:val="yellow"/>
        </w:rPr>
        <w:t xml:space="preserve">[This would be a good place to talk about any other issues or concerns that you have on the public charge rule. If you have any personal or client stories about why </w:t>
      </w:r>
      <w:r w:rsidR="00757942">
        <w:rPr>
          <w:rFonts w:ascii="Calibri" w:eastAsia="Calibri" w:hAnsi="Calibri" w:cs="Calibri"/>
          <w:highlight w:val="yellow"/>
        </w:rPr>
        <w:t xml:space="preserve">an expansion of </w:t>
      </w:r>
      <w:r w:rsidR="007D1E35">
        <w:rPr>
          <w:rFonts w:ascii="Calibri" w:eastAsia="Calibri" w:hAnsi="Calibri" w:cs="Calibri"/>
          <w:highlight w:val="yellow"/>
        </w:rPr>
        <w:t>a future public charge</w:t>
      </w:r>
      <w:r w:rsidRPr="4CD7732E">
        <w:rPr>
          <w:rFonts w:ascii="Calibri" w:eastAsia="Calibri" w:hAnsi="Calibri" w:cs="Calibri"/>
          <w:highlight w:val="yellow"/>
        </w:rPr>
        <w:t xml:space="preserve"> rule</w:t>
      </w:r>
      <w:r w:rsidR="00757942">
        <w:rPr>
          <w:rFonts w:ascii="Calibri" w:eastAsia="Calibri" w:hAnsi="Calibri" w:cs="Calibri"/>
          <w:highlight w:val="yellow"/>
        </w:rPr>
        <w:t xml:space="preserve"> like the 2019 rule</w:t>
      </w:r>
      <w:r w:rsidRPr="4CD7732E">
        <w:rPr>
          <w:rFonts w:ascii="Calibri" w:eastAsia="Calibri" w:hAnsi="Calibri" w:cs="Calibri"/>
          <w:highlight w:val="yellow"/>
        </w:rPr>
        <w:t xml:space="preserve"> </w:t>
      </w:r>
      <w:r w:rsidR="007D1E35">
        <w:rPr>
          <w:rFonts w:ascii="Calibri" w:eastAsia="Calibri" w:hAnsi="Calibri" w:cs="Calibri"/>
          <w:highlight w:val="yellow"/>
        </w:rPr>
        <w:t>would be</w:t>
      </w:r>
      <w:r w:rsidRPr="4CD7732E">
        <w:rPr>
          <w:rFonts w:ascii="Calibri" w:eastAsia="Calibri" w:hAnsi="Calibri" w:cs="Calibri"/>
          <w:highlight w:val="yellow"/>
        </w:rPr>
        <w:t xml:space="preserve"> harmful, please share them here.]</w:t>
      </w:r>
    </w:p>
    <w:p w14:paraId="29135F67" w14:textId="77777777" w:rsidR="00B11729" w:rsidRDefault="00B11729" w:rsidP="00331425">
      <w:pPr>
        <w:spacing w:after="0" w:line="240" w:lineRule="auto"/>
        <w:rPr>
          <w:rFonts w:ascii="Calibri" w:eastAsia="Calibri" w:hAnsi="Calibri" w:cs="Calibri"/>
        </w:rPr>
      </w:pPr>
    </w:p>
    <w:p w14:paraId="4A3EA548" w14:textId="104B0534" w:rsidR="041A94DB" w:rsidRDefault="4CD7732E" w:rsidP="00331425">
      <w:pPr>
        <w:spacing w:after="0" w:line="240" w:lineRule="auto"/>
        <w:rPr>
          <w:rFonts w:ascii="Calibri" w:eastAsia="Calibri" w:hAnsi="Calibri" w:cs="Calibri"/>
        </w:rPr>
      </w:pPr>
      <w:r w:rsidRPr="4CD7732E">
        <w:rPr>
          <w:rFonts w:ascii="Calibri" w:eastAsia="Calibri" w:hAnsi="Calibri" w:cs="Calibri"/>
        </w:rPr>
        <w:t xml:space="preserve">Thank you for the opportunity to submit comments on the </w:t>
      </w:r>
      <w:r w:rsidR="00757942">
        <w:rPr>
          <w:rFonts w:ascii="Calibri" w:eastAsia="Calibri" w:hAnsi="Calibri" w:cs="Calibri"/>
        </w:rPr>
        <w:t xml:space="preserve">advance notice of proposed </w:t>
      </w:r>
      <w:r w:rsidRPr="4CD7732E">
        <w:rPr>
          <w:rFonts w:ascii="Calibri" w:eastAsia="Calibri" w:hAnsi="Calibri" w:cs="Calibri"/>
        </w:rPr>
        <w:t xml:space="preserve">rulemaking. Please do not hesitate to contact </w:t>
      </w:r>
      <w:r w:rsidRPr="4CD7732E">
        <w:rPr>
          <w:rFonts w:ascii="Calibri" w:eastAsia="Calibri" w:hAnsi="Calibri" w:cs="Calibri"/>
          <w:highlight w:val="yellow"/>
        </w:rPr>
        <w:t>[FILL IN]</w:t>
      </w:r>
      <w:r w:rsidRPr="4CD7732E">
        <w:rPr>
          <w:rFonts w:ascii="Calibri" w:eastAsia="Calibri" w:hAnsi="Calibri" w:cs="Calibri"/>
        </w:rPr>
        <w:t xml:space="preserve"> to provide further information.</w:t>
      </w:r>
    </w:p>
    <w:p w14:paraId="1394C849" w14:textId="77777777" w:rsidR="00B11729" w:rsidRDefault="00B11729" w:rsidP="00331425">
      <w:pPr>
        <w:spacing w:after="0" w:line="240" w:lineRule="auto"/>
        <w:rPr>
          <w:rFonts w:ascii="Calibri" w:eastAsia="Calibri" w:hAnsi="Calibri" w:cs="Calibri"/>
          <w:highlight w:val="yellow"/>
        </w:rPr>
      </w:pPr>
    </w:p>
    <w:p w14:paraId="163D5657" w14:textId="673FBF24" w:rsidR="041A94DB" w:rsidRDefault="008026B3" w:rsidP="00331425">
      <w:pPr>
        <w:spacing w:after="0" w:line="240" w:lineRule="auto"/>
        <w:rPr>
          <w:rFonts w:ascii="Calibri" w:eastAsia="Calibri" w:hAnsi="Calibri" w:cs="Calibri"/>
          <w:highlight w:val="yellow"/>
        </w:rPr>
      </w:pPr>
      <w:r>
        <w:rPr>
          <w:rFonts w:ascii="Calibri" w:eastAsia="Calibri" w:hAnsi="Calibri" w:cs="Calibri"/>
          <w:highlight w:val="yellow"/>
        </w:rPr>
        <w:t>[</w:t>
      </w:r>
      <w:r w:rsidR="4CD7732E" w:rsidRPr="4CD7732E">
        <w:rPr>
          <w:rFonts w:ascii="Calibri" w:eastAsia="Calibri" w:hAnsi="Calibri" w:cs="Calibri"/>
          <w:highlight w:val="yellow"/>
        </w:rPr>
        <w:t>Name</w:t>
      </w:r>
      <w:r>
        <w:rPr>
          <w:rFonts w:ascii="Calibri" w:eastAsia="Calibri" w:hAnsi="Calibri" w:cs="Calibri"/>
          <w:highlight w:val="yellow"/>
        </w:rPr>
        <w:t>]</w:t>
      </w:r>
    </w:p>
    <w:p w14:paraId="41C50903" w14:textId="2767C07C" w:rsidR="041A94DB" w:rsidRDefault="008026B3" w:rsidP="00331425">
      <w:pPr>
        <w:spacing w:after="0" w:line="240" w:lineRule="auto"/>
        <w:rPr>
          <w:rFonts w:ascii="Calibri" w:eastAsia="Calibri" w:hAnsi="Calibri" w:cs="Calibri"/>
          <w:highlight w:val="yellow"/>
        </w:rPr>
      </w:pPr>
      <w:r>
        <w:rPr>
          <w:rFonts w:ascii="Calibri" w:eastAsia="Calibri" w:hAnsi="Calibri" w:cs="Calibri"/>
          <w:highlight w:val="yellow"/>
        </w:rPr>
        <w:t>[</w:t>
      </w:r>
      <w:r w:rsidR="4CD7732E" w:rsidRPr="4CD7732E">
        <w:rPr>
          <w:rFonts w:ascii="Calibri" w:eastAsia="Calibri" w:hAnsi="Calibri" w:cs="Calibri"/>
          <w:highlight w:val="yellow"/>
        </w:rPr>
        <w:t>Title</w:t>
      </w:r>
      <w:r>
        <w:rPr>
          <w:rFonts w:ascii="Calibri" w:eastAsia="Calibri" w:hAnsi="Calibri" w:cs="Calibri"/>
          <w:highlight w:val="yellow"/>
        </w:rPr>
        <w:t>]</w:t>
      </w:r>
    </w:p>
    <w:p w14:paraId="0A4E2695" w14:textId="1EF0B477" w:rsidR="041A94DB" w:rsidRDefault="4CD7732E" w:rsidP="00331425">
      <w:pPr>
        <w:spacing w:after="0" w:line="240" w:lineRule="auto"/>
        <w:rPr>
          <w:rFonts w:ascii="Calibri" w:eastAsia="Calibri" w:hAnsi="Calibri" w:cs="Calibri"/>
          <w:highlight w:val="yellow"/>
        </w:rPr>
      </w:pPr>
      <w:r w:rsidRPr="4CD7732E">
        <w:rPr>
          <w:rFonts w:ascii="Calibri" w:eastAsia="Calibri" w:hAnsi="Calibri" w:cs="Calibri"/>
          <w:highlight w:val="yellow"/>
        </w:rPr>
        <w:t xml:space="preserve">[Insert contact information and add </w:t>
      </w:r>
      <w:r w:rsidR="00F46811">
        <w:rPr>
          <w:rFonts w:ascii="Calibri" w:eastAsia="Calibri" w:hAnsi="Calibri" w:cs="Calibri"/>
          <w:highlight w:val="yellow"/>
        </w:rPr>
        <w:t xml:space="preserve">a </w:t>
      </w:r>
      <w:r w:rsidRPr="4CD7732E">
        <w:rPr>
          <w:rFonts w:ascii="Calibri" w:eastAsia="Calibri" w:hAnsi="Calibri" w:cs="Calibri"/>
          <w:highlight w:val="yellow"/>
        </w:rPr>
        <w:t>signature line if desired.]</w:t>
      </w:r>
    </w:p>
    <w:p w14:paraId="57AE96E7" w14:textId="211ED2FA" w:rsidR="6B64D5B1" w:rsidRPr="0092094C" w:rsidRDefault="6B64D5B1" w:rsidP="00331425">
      <w:pPr>
        <w:spacing w:after="0" w:line="240" w:lineRule="auto"/>
        <w:rPr>
          <w:rFonts w:ascii="Calibri" w:eastAsia="Calibri" w:hAnsi="Calibri" w:cs="Calibri"/>
          <w:highlight w:val="yellow"/>
        </w:rPr>
      </w:pPr>
    </w:p>
    <w:p w14:paraId="158EAE58" w14:textId="7FB7261F" w:rsidR="6B64D5B1" w:rsidRDefault="6B64D5B1" w:rsidP="00331425">
      <w:pPr>
        <w:spacing w:after="0" w:line="240" w:lineRule="auto"/>
      </w:pPr>
    </w:p>
    <w:p w14:paraId="322D4160" w14:textId="3F06F9C0" w:rsidR="04C48121" w:rsidRDefault="04C48121" w:rsidP="00331425">
      <w:pPr>
        <w:spacing w:after="0" w:line="240" w:lineRule="auto"/>
      </w:pPr>
    </w:p>
    <w:sectPr w:rsidR="04C4812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1822" w14:textId="77777777" w:rsidR="00B95AFE" w:rsidRDefault="00B95AFE">
      <w:pPr>
        <w:spacing w:after="0" w:line="240" w:lineRule="auto"/>
      </w:pPr>
      <w:r>
        <w:separator/>
      </w:r>
    </w:p>
  </w:endnote>
  <w:endnote w:type="continuationSeparator" w:id="0">
    <w:p w14:paraId="45139DA7" w14:textId="77777777" w:rsidR="00B95AFE" w:rsidRDefault="00B9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EC98" w14:textId="77777777" w:rsidR="00E95274" w:rsidRDefault="00E95274" w:rsidP="00553E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4263E" w14:textId="77777777" w:rsidR="00E95274" w:rsidRDefault="00E95274" w:rsidP="00920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7FCE" w14:textId="77777777" w:rsidR="00E95274" w:rsidRDefault="00E95274" w:rsidP="00553E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BE6">
      <w:rPr>
        <w:rStyle w:val="PageNumber"/>
        <w:noProof/>
      </w:rPr>
      <w:t>6</w:t>
    </w:r>
    <w:r>
      <w:rPr>
        <w:rStyle w:val="PageNumber"/>
      </w:rPr>
      <w:fldChar w:fldCharType="end"/>
    </w:r>
  </w:p>
  <w:p w14:paraId="0919A751" w14:textId="77777777" w:rsidR="00E95274" w:rsidRDefault="00E95274" w:rsidP="009209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9A9B" w14:textId="77777777" w:rsidR="00B95AFE" w:rsidRDefault="00B95AFE">
      <w:pPr>
        <w:spacing w:after="0" w:line="240" w:lineRule="auto"/>
      </w:pPr>
      <w:r>
        <w:separator/>
      </w:r>
    </w:p>
  </w:footnote>
  <w:footnote w:type="continuationSeparator" w:id="0">
    <w:p w14:paraId="5E91E20C" w14:textId="77777777" w:rsidR="00B95AFE" w:rsidRDefault="00B95AFE">
      <w:pPr>
        <w:spacing w:after="0" w:line="240" w:lineRule="auto"/>
      </w:pPr>
      <w:r>
        <w:continuationSeparator/>
      </w:r>
    </w:p>
  </w:footnote>
  <w:footnote w:id="1">
    <w:p w14:paraId="485C0981" w14:textId="69FE361D" w:rsidR="00E95274" w:rsidRPr="008A3F84" w:rsidRDefault="00E95274">
      <w:pPr>
        <w:pStyle w:val="FootnoteText"/>
        <w:rPr>
          <w:sz w:val="18"/>
          <w:szCs w:val="18"/>
        </w:rPr>
      </w:pPr>
      <w:r w:rsidRPr="008A3F84">
        <w:rPr>
          <w:rStyle w:val="FootnoteReference"/>
          <w:sz w:val="18"/>
          <w:szCs w:val="18"/>
        </w:rPr>
        <w:footnoteRef/>
      </w:r>
      <w:r w:rsidRPr="008A3F84">
        <w:rPr>
          <w:sz w:val="18"/>
          <w:szCs w:val="18"/>
        </w:rPr>
        <w:t xml:space="preserve"> </w:t>
      </w:r>
      <w:r w:rsidR="00331425" w:rsidRPr="00331425">
        <w:rPr>
          <w:smallCaps/>
          <w:sz w:val="18"/>
          <w:szCs w:val="18"/>
        </w:rPr>
        <w:t>https://www.federalregister.gov/documents/2021/08/23/2021-17837/public-charge-ground-of-inadmissibility</w:t>
      </w:r>
    </w:p>
  </w:footnote>
  <w:footnote w:id="2">
    <w:p w14:paraId="5836A43D" w14:textId="77777777" w:rsidR="00E95274" w:rsidRPr="008A3F84" w:rsidRDefault="00E95274" w:rsidP="00ED203F">
      <w:pPr>
        <w:pStyle w:val="FootnoteText"/>
        <w:rPr>
          <w:sz w:val="18"/>
          <w:szCs w:val="18"/>
        </w:rPr>
      </w:pPr>
      <w:r w:rsidRPr="008A3F84">
        <w:rPr>
          <w:rStyle w:val="FootnoteReference"/>
          <w:sz w:val="18"/>
          <w:szCs w:val="18"/>
        </w:rPr>
        <w:footnoteRef/>
      </w:r>
      <w:r w:rsidRPr="008A3F84">
        <w:rPr>
          <w:sz w:val="18"/>
          <w:szCs w:val="18"/>
        </w:rPr>
        <w:t xml:space="preserve"> Megan Sandel et al., </w:t>
      </w:r>
      <w:r w:rsidRPr="008A3F84">
        <w:rPr>
          <w:i/>
          <w:sz w:val="18"/>
          <w:szCs w:val="18"/>
        </w:rPr>
        <w:t>Unstable Housing and Caregiver and Child Health in Renter Families</w:t>
      </w:r>
      <w:r w:rsidRPr="008A3F84">
        <w:rPr>
          <w:sz w:val="18"/>
          <w:szCs w:val="18"/>
        </w:rPr>
        <w:t xml:space="preserve">, 141 </w:t>
      </w:r>
      <w:r w:rsidRPr="008A3F84">
        <w:rPr>
          <w:smallCaps/>
          <w:sz w:val="18"/>
          <w:szCs w:val="18"/>
        </w:rPr>
        <w:t xml:space="preserve">Pediatrics 1 (2018), </w:t>
      </w:r>
      <w:hyperlink r:id="rId1">
        <w:r w:rsidRPr="008A3F84">
          <w:rPr>
            <w:rStyle w:val="Hyperlink"/>
            <w:sz w:val="18"/>
            <w:szCs w:val="18"/>
          </w:rPr>
          <w:t>http://pediatrics.aappublications.org/content/141/2/e20172199</w:t>
        </w:r>
      </w:hyperlink>
      <w:r w:rsidRPr="008A3F84">
        <w:rPr>
          <w:sz w:val="18"/>
          <w:szCs w:val="18"/>
        </w:rPr>
        <w:t>.</w:t>
      </w:r>
    </w:p>
  </w:footnote>
  <w:footnote w:id="3">
    <w:p w14:paraId="4875D99B" w14:textId="77777777" w:rsidR="00E95274" w:rsidRPr="008A3F84" w:rsidRDefault="00E95274" w:rsidP="008B7375">
      <w:pPr>
        <w:pStyle w:val="FootnoteText"/>
        <w:rPr>
          <w:sz w:val="18"/>
          <w:szCs w:val="18"/>
        </w:rPr>
      </w:pPr>
      <w:r w:rsidRPr="008A3F84">
        <w:rPr>
          <w:rStyle w:val="FootnoteReference"/>
          <w:sz w:val="18"/>
          <w:szCs w:val="18"/>
        </w:rPr>
        <w:footnoteRef/>
      </w:r>
      <w:r w:rsidRPr="008A3F84">
        <w:rPr>
          <w:sz w:val="18"/>
          <w:szCs w:val="18"/>
        </w:rPr>
        <w:t xml:space="preserve"> </w:t>
      </w:r>
      <w:r w:rsidRPr="008A3F84">
        <w:rPr>
          <w:i/>
          <w:sz w:val="18"/>
          <w:szCs w:val="18"/>
        </w:rPr>
        <w:t>See</w:t>
      </w:r>
      <w:r w:rsidRPr="008A3F84">
        <w:rPr>
          <w:sz w:val="18"/>
          <w:szCs w:val="18"/>
        </w:rPr>
        <w:t xml:space="preserve"> Will Fischer, </w:t>
      </w:r>
      <w:r w:rsidRPr="008A3F84">
        <w:rPr>
          <w:i/>
          <w:sz w:val="18"/>
          <w:szCs w:val="18"/>
        </w:rPr>
        <w:t>Research Shows Housing Vouchers Reduce Hardship and Provide Platform for Long-Term Gains Among Children</w:t>
      </w:r>
      <w:r w:rsidRPr="008A3F84">
        <w:rPr>
          <w:sz w:val="18"/>
          <w:szCs w:val="18"/>
        </w:rPr>
        <w:t xml:space="preserve">, </w:t>
      </w:r>
      <w:r w:rsidRPr="008A3F84">
        <w:rPr>
          <w:smallCaps/>
          <w:sz w:val="18"/>
          <w:szCs w:val="18"/>
        </w:rPr>
        <w:t>Center on Budget and Policy Priorities</w:t>
      </w:r>
      <w:r w:rsidRPr="008A3F84">
        <w:rPr>
          <w:sz w:val="18"/>
          <w:szCs w:val="18"/>
        </w:rPr>
        <w:t xml:space="preserve"> (October 7, 2015), </w:t>
      </w:r>
      <w:hyperlink r:id="rId2" w:history="1">
        <w:r w:rsidRPr="008A3F84">
          <w:rPr>
            <w:rStyle w:val="Hyperlink"/>
            <w:sz w:val="18"/>
            <w:szCs w:val="18"/>
          </w:rPr>
          <w:t>https://www.cbpp.org/research/research-shows-housing-vouchers-reduce-hardship-and-provide-platform-for-longterm-gains</w:t>
        </w:r>
      </w:hyperlink>
      <w:r w:rsidRPr="008A3F84">
        <w:rPr>
          <w:sz w:val="18"/>
          <w:szCs w:val="18"/>
        </w:rPr>
        <w:t xml:space="preserve">; </w:t>
      </w:r>
      <w:r w:rsidRPr="008A3F84">
        <w:rPr>
          <w:i/>
          <w:sz w:val="18"/>
          <w:szCs w:val="18"/>
        </w:rPr>
        <w:t xml:space="preserve">see also </w:t>
      </w:r>
      <w:r w:rsidRPr="008A3F84">
        <w:rPr>
          <w:sz w:val="18"/>
          <w:szCs w:val="18"/>
        </w:rPr>
        <w:t xml:space="preserve">Linda Giannarelli et al., </w:t>
      </w:r>
      <w:r w:rsidRPr="008A3F84">
        <w:rPr>
          <w:i/>
          <w:sz w:val="18"/>
          <w:szCs w:val="18"/>
        </w:rPr>
        <w:t>Reducing Child Poverty in the US: Costs and Impacts of Policies Proposed by the Children’s Defense Fund</w:t>
      </w:r>
      <w:r w:rsidRPr="008A3F84">
        <w:rPr>
          <w:sz w:val="18"/>
          <w:szCs w:val="18"/>
        </w:rPr>
        <w:t xml:space="preserve"> (Jan. 2015), </w:t>
      </w:r>
      <w:hyperlink r:id="rId3" w:history="1">
        <w:r w:rsidRPr="008A3F84">
          <w:rPr>
            <w:rStyle w:val="Hyperlink"/>
            <w:sz w:val="18"/>
            <w:szCs w:val="18"/>
          </w:rPr>
          <w:t>http://www.childrensdefense.org/library/PovertyReport/assets/ReducingChildPovertyintheUSCostsandImpactsofPol iciesProposedbytheChildrensDefenseFund.pdf.</w:t>
        </w:r>
      </w:hyperlink>
    </w:p>
  </w:footnote>
  <w:footnote w:id="4">
    <w:p w14:paraId="4347A076" w14:textId="77777777" w:rsidR="00E95274" w:rsidRPr="008A3F84" w:rsidRDefault="00E95274" w:rsidP="00ED203F">
      <w:pPr>
        <w:pStyle w:val="FootnoteText"/>
        <w:rPr>
          <w:sz w:val="18"/>
          <w:szCs w:val="18"/>
        </w:rPr>
      </w:pPr>
      <w:r w:rsidRPr="008A3F84">
        <w:rPr>
          <w:rStyle w:val="FootnoteReference"/>
          <w:sz w:val="18"/>
          <w:szCs w:val="18"/>
        </w:rPr>
        <w:footnoteRef/>
      </w:r>
      <w:r w:rsidRPr="008A3F84">
        <w:rPr>
          <w:sz w:val="18"/>
          <w:szCs w:val="18"/>
        </w:rPr>
        <w:t xml:space="preserve"> </w:t>
      </w:r>
      <w:r w:rsidRPr="008A3F84">
        <w:rPr>
          <w:smallCaps/>
          <w:sz w:val="18"/>
          <w:szCs w:val="18"/>
        </w:rPr>
        <w:t xml:space="preserve">Heather Sandstrom &amp; Sandra Huerta, The Negative Effects of Instability on Child Development: A research Synthesis (2013), </w:t>
      </w:r>
      <w:hyperlink r:id="rId4">
        <w:r w:rsidRPr="008A3F84">
          <w:rPr>
            <w:rStyle w:val="Hyperlink"/>
            <w:sz w:val="18"/>
            <w:szCs w:val="18"/>
          </w:rPr>
          <w:t>https://www.urban.org/sites/default/files/publication/32706/412899-The-Negative-Effects-of-Instability-on-Child-Development-A-Research-Synthesis.PDF</w:t>
        </w:r>
      </w:hyperlink>
      <w:r w:rsidRPr="008A3F84">
        <w:rPr>
          <w:sz w:val="18"/>
          <w:szCs w:val="18"/>
        </w:rPr>
        <w:t>.</w:t>
      </w:r>
    </w:p>
  </w:footnote>
  <w:footnote w:id="5">
    <w:p w14:paraId="7C10E722" w14:textId="77777777" w:rsidR="0032186D" w:rsidRPr="005C1D8B" w:rsidRDefault="0032186D" w:rsidP="0032186D">
      <w:pPr>
        <w:pStyle w:val="FootnoteText1"/>
        <w:rPr>
          <w:sz w:val="18"/>
          <w:szCs w:val="18"/>
        </w:rPr>
      </w:pPr>
      <w:r w:rsidRPr="005C1D8B">
        <w:rPr>
          <w:rStyle w:val="FootnoteReference"/>
          <w:sz w:val="18"/>
          <w:szCs w:val="18"/>
        </w:rPr>
        <w:footnoteRef/>
      </w:r>
      <w:r w:rsidRPr="005C1D8B">
        <w:rPr>
          <w:sz w:val="18"/>
          <w:szCs w:val="18"/>
        </w:rPr>
        <w:t xml:space="preserve"> </w:t>
      </w:r>
      <w:r w:rsidRPr="005C1D8B">
        <w:rPr>
          <w:smallCaps/>
          <w:sz w:val="18"/>
          <w:szCs w:val="18"/>
        </w:rPr>
        <w:t>Center on Budget And Policy Priorities, Chart Book: Economic Security and Health Insurance Programs Reduce Poverty and Provide Access to Needed Care</w:t>
      </w:r>
      <w:r w:rsidRPr="005C1D8B">
        <w:rPr>
          <w:sz w:val="18"/>
          <w:szCs w:val="18"/>
        </w:rPr>
        <w:t xml:space="preserve"> (December 2019), available at: </w:t>
      </w:r>
      <w:hyperlink r:id="rId5" w:history="1">
        <w:r w:rsidRPr="005C1D8B">
          <w:rPr>
            <w:rStyle w:val="Hyperlink"/>
            <w:sz w:val="18"/>
            <w:szCs w:val="18"/>
          </w:rPr>
          <w:t>https://www.cbpp.org/research/poverty-and-inequality/chart-book-economic-security-and-health-insurance-programs-reduce</w:t>
        </w:r>
      </w:hyperlink>
      <w:r w:rsidRPr="005C1D8B">
        <w:rPr>
          <w:sz w:val="18"/>
          <w:szCs w:val="18"/>
        </w:rPr>
        <w:t xml:space="preserve">. </w:t>
      </w:r>
    </w:p>
  </w:footnote>
  <w:footnote w:id="6">
    <w:p w14:paraId="2F7FF5EB" w14:textId="77777777" w:rsidR="0032186D" w:rsidRPr="005C1D8B" w:rsidRDefault="0032186D" w:rsidP="0032186D">
      <w:pPr>
        <w:pStyle w:val="FootnoteText1"/>
        <w:rPr>
          <w:sz w:val="18"/>
          <w:szCs w:val="18"/>
        </w:rPr>
      </w:pPr>
      <w:r w:rsidRPr="005C1D8B">
        <w:rPr>
          <w:rStyle w:val="FootnoteReference"/>
          <w:sz w:val="18"/>
          <w:szCs w:val="18"/>
        </w:rPr>
        <w:footnoteRef/>
      </w:r>
      <w:r w:rsidRPr="005C1D8B">
        <w:rPr>
          <w:sz w:val="18"/>
          <w:szCs w:val="18"/>
        </w:rPr>
        <w:t xml:space="preserve"> </w:t>
      </w:r>
      <w:r w:rsidRPr="005C1D8B">
        <w:rPr>
          <w:smallCaps/>
          <w:sz w:val="18"/>
          <w:szCs w:val="18"/>
        </w:rPr>
        <w:t xml:space="preserve">Center on Budget And Policy Priorities, National and State Housing Fact Sheets &amp; Data, HUD Rental Assistance with Children 2004-2015 (December 2019), </w:t>
      </w:r>
      <w:r w:rsidRPr="005C1D8B">
        <w:rPr>
          <w:sz w:val="18"/>
          <w:szCs w:val="18"/>
        </w:rPr>
        <w:t xml:space="preserve">available at: </w:t>
      </w:r>
      <w:hyperlink r:id="rId6" w:history="1">
        <w:r w:rsidRPr="005C1D8B">
          <w:rPr>
            <w:rStyle w:val="Hyperlink"/>
            <w:sz w:val="18"/>
            <w:szCs w:val="18"/>
          </w:rPr>
          <w:t>https://www.cbpp.org/research/housing/national-and-state-housing-fact-sheets-data</w:t>
        </w:r>
      </w:hyperlink>
      <w:r w:rsidRPr="005C1D8B">
        <w:rPr>
          <w:sz w:val="18"/>
          <w:szCs w:val="18"/>
        </w:rPr>
        <w:t xml:space="preserve">. </w:t>
      </w:r>
    </w:p>
  </w:footnote>
  <w:footnote w:id="7">
    <w:p w14:paraId="5B0A07DE" w14:textId="77777777" w:rsidR="0032186D" w:rsidRPr="005C1D8B" w:rsidRDefault="0032186D" w:rsidP="0032186D">
      <w:pPr>
        <w:pStyle w:val="FootnoteText1"/>
        <w:rPr>
          <w:sz w:val="18"/>
          <w:szCs w:val="18"/>
        </w:rPr>
      </w:pPr>
      <w:r w:rsidRPr="005C1D8B">
        <w:rPr>
          <w:rStyle w:val="FootnoteReference"/>
          <w:sz w:val="18"/>
          <w:szCs w:val="18"/>
        </w:rPr>
        <w:footnoteRef/>
      </w:r>
      <w:r w:rsidRPr="005C1D8B">
        <w:rPr>
          <w:sz w:val="18"/>
          <w:szCs w:val="18"/>
        </w:rPr>
        <w:t xml:space="preserve"> </w:t>
      </w:r>
      <w:r w:rsidRPr="005C1D8B">
        <w:rPr>
          <w:smallCaps/>
          <w:sz w:val="18"/>
          <w:szCs w:val="18"/>
        </w:rPr>
        <w:t xml:space="preserve">Liana E. Fox and </w:t>
      </w:r>
      <w:proofErr w:type="spellStart"/>
      <w:r w:rsidRPr="005C1D8B">
        <w:rPr>
          <w:smallCaps/>
          <w:sz w:val="18"/>
          <w:szCs w:val="18"/>
        </w:rPr>
        <w:t>Kalee</w:t>
      </w:r>
      <w:proofErr w:type="spellEnd"/>
      <w:r w:rsidRPr="005C1D8B">
        <w:rPr>
          <w:smallCaps/>
          <w:sz w:val="18"/>
          <w:szCs w:val="18"/>
        </w:rPr>
        <w:t xml:space="preserve"> Burns, U.S. Census Bureau, The Supplemental Poverty Measure: 2020</w:t>
      </w:r>
      <w:r w:rsidRPr="005C1D8B">
        <w:rPr>
          <w:sz w:val="18"/>
          <w:szCs w:val="18"/>
        </w:rPr>
        <w:t xml:space="preserve"> (September 2021), available at: </w:t>
      </w:r>
      <w:hyperlink r:id="rId7" w:history="1">
        <w:r w:rsidRPr="005C1D8B">
          <w:rPr>
            <w:rStyle w:val="Hyperlink"/>
            <w:sz w:val="18"/>
            <w:szCs w:val="18"/>
          </w:rPr>
          <w:t>https://www.census.gov/content/dam/Census/library/publications/2021/demo/p60-275.pdf</w:t>
        </w:r>
      </w:hyperlink>
      <w:r w:rsidRPr="005C1D8B">
        <w:rPr>
          <w:sz w:val="18"/>
          <w:szCs w:val="18"/>
        </w:rPr>
        <w:t xml:space="preserve">. </w:t>
      </w:r>
    </w:p>
  </w:footnote>
  <w:footnote w:id="8">
    <w:p w14:paraId="2ADCC523" w14:textId="77777777" w:rsidR="0032186D" w:rsidRPr="005C1D8B" w:rsidRDefault="0032186D" w:rsidP="0032186D">
      <w:pPr>
        <w:pStyle w:val="FootnoteText1"/>
        <w:rPr>
          <w:sz w:val="18"/>
          <w:szCs w:val="18"/>
        </w:rPr>
      </w:pPr>
      <w:r w:rsidRPr="005C1D8B">
        <w:rPr>
          <w:rStyle w:val="FootnoteReference"/>
          <w:sz w:val="18"/>
          <w:szCs w:val="18"/>
        </w:rPr>
        <w:footnoteRef/>
      </w:r>
      <w:r w:rsidRPr="005C1D8B">
        <w:rPr>
          <w:sz w:val="18"/>
          <w:szCs w:val="18"/>
        </w:rPr>
        <w:t xml:space="preserve"> </w:t>
      </w:r>
      <w:r w:rsidRPr="005C1D8B">
        <w:rPr>
          <w:smallCaps/>
          <w:sz w:val="18"/>
          <w:szCs w:val="18"/>
        </w:rPr>
        <w:t xml:space="preserve">Fredrik Andersson, John C. </w:t>
      </w:r>
      <w:proofErr w:type="spellStart"/>
      <w:r w:rsidRPr="005C1D8B">
        <w:rPr>
          <w:smallCaps/>
          <w:sz w:val="18"/>
          <w:szCs w:val="18"/>
        </w:rPr>
        <w:t>Haltiwanger</w:t>
      </w:r>
      <w:proofErr w:type="spellEnd"/>
      <w:r w:rsidRPr="005C1D8B">
        <w:rPr>
          <w:smallCaps/>
          <w:sz w:val="18"/>
          <w:szCs w:val="18"/>
        </w:rPr>
        <w:t>, Et. Al, National Bureau of Economic Research, Childhood Housing And Adult Earnings: A Between-Siblings Analysis of Housing Vouchers And Public Housing</w:t>
      </w:r>
      <w:r w:rsidRPr="005C1D8B">
        <w:rPr>
          <w:sz w:val="18"/>
          <w:szCs w:val="18"/>
        </w:rPr>
        <w:t xml:space="preserve"> (Revised September 2018), available at </w:t>
      </w:r>
      <w:hyperlink r:id="rId8" w:history="1">
        <w:r w:rsidRPr="005C1D8B">
          <w:rPr>
            <w:rStyle w:val="Hyperlink"/>
            <w:sz w:val="18"/>
            <w:szCs w:val="18"/>
          </w:rPr>
          <w:t>http://www.nber.org/papers/w22721</w:t>
        </w:r>
      </w:hyperlink>
      <w:r w:rsidRPr="005C1D8B">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1E8A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734A4"/>
    <w:multiLevelType w:val="multilevel"/>
    <w:tmpl w:val="863A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058D7"/>
    <w:multiLevelType w:val="multilevel"/>
    <w:tmpl w:val="D04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C286B"/>
    <w:multiLevelType w:val="hybridMultilevel"/>
    <w:tmpl w:val="7368FE58"/>
    <w:lvl w:ilvl="0" w:tplc="0CA6B580">
      <w:start w:val="1"/>
      <w:numFmt w:val="bullet"/>
      <w:lvlText w:val=""/>
      <w:lvlJc w:val="left"/>
      <w:pPr>
        <w:ind w:left="720" w:hanging="360"/>
      </w:pPr>
      <w:rPr>
        <w:rFonts w:ascii="Symbol" w:hAnsi="Symbol" w:hint="default"/>
      </w:rPr>
    </w:lvl>
    <w:lvl w:ilvl="1" w:tplc="96C0D76A">
      <w:start w:val="1"/>
      <w:numFmt w:val="bullet"/>
      <w:lvlText w:val=""/>
      <w:lvlJc w:val="left"/>
      <w:pPr>
        <w:ind w:left="1440" w:hanging="360"/>
      </w:pPr>
      <w:rPr>
        <w:rFonts w:ascii="Symbol" w:hAnsi="Symbol" w:hint="default"/>
      </w:rPr>
    </w:lvl>
    <w:lvl w:ilvl="2" w:tplc="A9F81FBE">
      <w:start w:val="1"/>
      <w:numFmt w:val="bullet"/>
      <w:lvlText w:val=""/>
      <w:lvlJc w:val="left"/>
      <w:pPr>
        <w:ind w:left="2160" w:hanging="360"/>
      </w:pPr>
      <w:rPr>
        <w:rFonts w:ascii="Wingdings" w:hAnsi="Wingdings" w:hint="default"/>
      </w:rPr>
    </w:lvl>
    <w:lvl w:ilvl="3" w:tplc="4830D3E4">
      <w:start w:val="1"/>
      <w:numFmt w:val="bullet"/>
      <w:lvlText w:val=""/>
      <w:lvlJc w:val="left"/>
      <w:pPr>
        <w:ind w:left="2880" w:hanging="360"/>
      </w:pPr>
      <w:rPr>
        <w:rFonts w:ascii="Symbol" w:hAnsi="Symbol" w:hint="default"/>
      </w:rPr>
    </w:lvl>
    <w:lvl w:ilvl="4" w:tplc="856ACDDE">
      <w:start w:val="1"/>
      <w:numFmt w:val="bullet"/>
      <w:lvlText w:val="o"/>
      <w:lvlJc w:val="left"/>
      <w:pPr>
        <w:ind w:left="3600" w:hanging="360"/>
      </w:pPr>
      <w:rPr>
        <w:rFonts w:ascii="Courier New" w:hAnsi="Courier New" w:hint="default"/>
      </w:rPr>
    </w:lvl>
    <w:lvl w:ilvl="5" w:tplc="5726B6FC">
      <w:start w:val="1"/>
      <w:numFmt w:val="bullet"/>
      <w:lvlText w:val=""/>
      <w:lvlJc w:val="left"/>
      <w:pPr>
        <w:ind w:left="4320" w:hanging="360"/>
      </w:pPr>
      <w:rPr>
        <w:rFonts w:ascii="Wingdings" w:hAnsi="Wingdings" w:hint="default"/>
      </w:rPr>
    </w:lvl>
    <w:lvl w:ilvl="6" w:tplc="75D84FCE">
      <w:start w:val="1"/>
      <w:numFmt w:val="bullet"/>
      <w:lvlText w:val=""/>
      <w:lvlJc w:val="left"/>
      <w:pPr>
        <w:ind w:left="5040" w:hanging="360"/>
      </w:pPr>
      <w:rPr>
        <w:rFonts w:ascii="Symbol" w:hAnsi="Symbol" w:hint="default"/>
      </w:rPr>
    </w:lvl>
    <w:lvl w:ilvl="7" w:tplc="E2F67542">
      <w:start w:val="1"/>
      <w:numFmt w:val="bullet"/>
      <w:lvlText w:val="o"/>
      <w:lvlJc w:val="left"/>
      <w:pPr>
        <w:ind w:left="5760" w:hanging="360"/>
      </w:pPr>
      <w:rPr>
        <w:rFonts w:ascii="Courier New" w:hAnsi="Courier New" w:hint="default"/>
      </w:rPr>
    </w:lvl>
    <w:lvl w:ilvl="8" w:tplc="E082680A">
      <w:start w:val="1"/>
      <w:numFmt w:val="bullet"/>
      <w:lvlText w:val=""/>
      <w:lvlJc w:val="left"/>
      <w:pPr>
        <w:ind w:left="6480" w:hanging="360"/>
      </w:pPr>
      <w:rPr>
        <w:rFonts w:ascii="Wingdings" w:hAnsi="Wingdings" w:hint="default"/>
      </w:rPr>
    </w:lvl>
  </w:abstractNum>
  <w:abstractNum w:abstractNumId="4" w15:restartNumberingAfterBreak="0">
    <w:nsid w:val="1F744C78"/>
    <w:multiLevelType w:val="multilevel"/>
    <w:tmpl w:val="96360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783E85"/>
    <w:multiLevelType w:val="hybridMultilevel"/>
    <w:tmpl w:val="72106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01037"/>
    <w:multiLevelType w:val="multilevel"/>
    <w:tmpl w:val="A516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055A3"/>
    <w:multiLevelType w:val="hybridMultilevel"/>
    <w:tmpl w:val="159A1816"/>
    <w:lvl w:ilvl="0" w:tplc="517A494E">
      <w:start w:val="1"/>
      <w:numFmt w:val="bullet"/>
      <w:lvlText w:val=""/>
      <w:lvlJc w:val="left"/>
      <w:pPr>
        <w:ind w:left="720" w:hanging="360"/>
      </w:pPr>
      <w:rPr>
        <w:rFonts w:ascii="Symbol" w:hAnsi="Symbol" w:hint="default"/>
      </w:rPr>
    </w:lvl>
    <w:lvl w:ilvl="1" w:tplc="A2D0A1CC">
      <w:start w:val="1"/>
      <w:numFmt w:val="bullet"/>
      <w:lvlText w:val="o"/>
      <w:lvlJc w:val="left"/>
      <w:pPr>
        <w:ind w:left="1440" w:hanging="360"/>
      </w:pPr>
      <w:rPr>
        <w:rFonts w:ascii="Courier New" w:hAnsi="Courier New" w:hint="default"/>
      </w:rPr>
    </w:lvl>
    <w:lvl w:ilvl="2" w:tplc="ABA8EB56">
      <w:start w:val="1"/>
      <w:numFmt w:val="bullet"/>
      <w:lvlText w:val=""/>
      <w:lvlJc w:val="left"/>
      <w:pPr>
        <w:ind w:left="2160" w:hanging="360"/>
      </w:pPr>
      <w:rPr>
        <w:rFonts w:ascii="Wingdings" w:hAnsi="Wingdings" w:hint="default"/>
      </w:rPr>
    </w:lvl>
    <w:lvl w:ilvl="3" w:tplc="09B01B82">
      <w:start w:val="1"/>
      <w:numFmt w:val="bullet"/>
      <w:lvlText w:val=""/>
      <w:lvlJc w:val="left"/>
      <w:pPr>
        <w:ind w:left="2880" w:hanging="360"/>
      </w:pPr>
      <w:rPr>
        <w:rFonts w:ascii="Symbol" w:hAnsi="Symbol" w:hint="default"/>
      </w:rPr>
    </w:lvl>
    <w:lvl w:ilvl="4" w:tplc="8996C1A0">
      <w:start w:val="1"/>
      <w:numFmt w:val="bullet"/>
      <w:lvlText w:val="o"/>
      <w:lvlJc w:val="left"/>
      <w:pPr>
        <w:ind w:left="3600" w:hanging="360"/>
      </w:pPr>
      <w:rPr>
        <w:rFonts w:ascii="Courier New" w:hAnsi="Courier New" w:hint="default"/>
      </w:rPr>
    </w:lvl>
    <w:lvl w:ilvl="5" w:tplc="D166DF76">
      <w:start w:val="1"/>
      <w:numFmt w:val="bullet"/>
      <w:lvlText w:val=""/>
      <w:lvlJc w:val="left"/>
      <w:pPr>
        <w:ind w:left="4320" w:hanging="360"/>
      </w:pPr>
      <w:rPr>
        <w:rFonts w:ascii="Wingdings" w:hAnsi="Wingdings" w:hint="default"/>
      </w:rPr>
    </w:lvl>
    <w:lvl w:ilvl="6" w:tplc="5B705E5E">
      <w:start w:val="1"/>
      <w:numFmt w:val="bullet"/>
      <w:lvlText w:val=""/>
      <w:lvlJc w:val="left"/>
      <w:pPr>
        <w:ind w:left="5040" w:hanging="360"/>
      </w:pPr>
      <w:rPr>
        <w:rFonts w:ascii="Symbol" w:hAnsi="Symbol" w:hint="default"/>
      </w:rPr>
    </w:lvl>
    <w:lvl w:ilvl="7" w:tplc="CF741FAA">
      <w:start w:val="1"/>
      <w:numFmt w:val="bullet"/>
      <w:lvlText w:val="o"/>
      <w:lvlJc w:val="left"/>
      <w:pPr>
        <w:ind w:left="5760" w:hanging="360"/>
      </w:pPr>
      <w:rPr>
        <w:rFonts w:ascii="Courier New" w:hAnsi="Courier New" w:hint="default"/>
      </w:rPr>
    </w:lvl>
    <w:lvl w:ilvl="8" w:tplc="29AE5686">
      <w:start w:val="1"/>
      <w:numFmt w:val="bullet"/>
      <w:lvlText w:val=""/>
      <w:lvlJc w:val="left"/>
      <w:pPr>
        <w:ind w:left="6480" w:hanging="360"/>
      </w:pPr>
      <w:rPr>
        <w:rFonts w:ascii="Wingdings" w:hAnsi="Wingdings" w:hint="default"/>
      </w:rPr>
    </w:lvl>
  </w:abstractNum>
  <w:abstractNum w:abstractNumId="8" w15:restartNumberingAfterBreak="0">
    <w:nsid w:val="4A5F6E90"/>
    <w:multiLevelType w:val="multilevel"/>
    <w:tmpl w:val="A4B0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B4081"/>
    <w:multiLevelType w:val="hybridMultilevel"/>
    <w:tmpl w:val="AD32C2F6"/>
    <w:lvl w:ilvl="0" w:tplc="E3A27CCA">
      <w:start w:val="1"/>
      <w:numFmt w:val="bullet"/>
      <w:lvlText w:val=""/>
      <w:lvlJc w:val="left"/>
      <w:pPr>
        <w:ind w:left="720" w:hanging="360"/>
      </w:pPr>
      <w:rPr>
        <w:rFonts w:ascii="Symbol" w:hAnsi="Symbol" w:hint="default"/>
      </w:rPr>
    </w:lvl>
    <w:lvl w:ilvl="1" w:tplc="B0509726">
      <w:start w:val="1"/>
      <w:numFmt w:val="bullet"/>
      <w:lvlText w:val="o"/>
      <w:lvlJc w:val="left"/>
      <w:pPr>
        <w:ind w:left="1440" w:hanging="360"/>
      </w:pPr>
      <w:rPr>
        <w:rFonts w:ascii="Courier New" w:hAnsi="Courier New" w:hint="default"/>
      </w:rPr>
    </w:lvl>
    <w:lvl w:ilvl="2" w:tplc="324E653C">
      <w:start w:val="1"/>
      <w:numFmt w:val="bullet"/>
      <w:lvlText w:val=""/>
      <w:lvlJc w:val="left"/>
      <w:pPr>
        <w:ind w:left="2160" w:hanging="360"/>
      </w:pPr>
      <w:rPr>
        <w:rFonts w:ascii="Wingdings" w:hAnsi="Wingdings" w:hint="default"/>
      </w:rPr>
    </w:lvl>
    <w:lvl w:ilvl="3" w:tplc="30B29268">
      <w:start w:val="1"/>
      <w:numFmt w:val="bullet"/>
      <w:lvlText w:val="o"/>
      <w:lvlJc w:val="left"/>
      <w:pPr>
        <w:ind w:left="2880" w:hanging="360"/>
      </w:pPr>
      <w:rPr>
        <w:rFonts w:ascii="Courier New" w:hAnsi="Courier New" w:hint="default"/>
      </w:rPr>
    </w:lvl>
    <w:lvl w:ilvl="4" w:tplc="01F8D34E">
      <w:start w:val="1"/>
      <w:numFmt w:val="bullet"/>
      <w:lvlText w:val="o"/>
      <w:lvlJc w:val="left"/>
      <w:pPr>
        <w:ind w:left="3600" w:hanging="360"/>
      </w:pPr>
      <w:rPr>
        <w:rFonts w:ascii="Courier New" w:hAnsi="Courier New" w:hint="default"/>
      </w:rPr>
    </w:lvl>
    <w:lvl w:ilvl="5" w:tplc="DFD0DCF2">
      <w:start w:val="1"/>
      <w:numFmt w:val="bullet"/>
      <w:lvlText w:val=""/>
      <w:lvlJc w:val="left"/>
      <w:pPr>
        <w:ind w:left="4320" w:hanging="360"/>
      </w:pPr>
      <w:rPr>
        <w:rFonts w:ascii="Wingdings" w:hAnsi="Wingdings" w:hint="default"/>
      </w:rPr>
    </w:lvl>
    <w:lvl w:ilvl="6" w:tplc="DD78EDEC">
      <w:start w:val="1"/>
      <w:numFmt w:val="bullet"/>
      <w:lvlText w:val=""/>
      <w:lvlJc w:val="left"/>
      <w:pPr>
        <w:ind w:left="5040" w:hanging="360"/>
      </w:pPr>
      <w:rPr>
        <w:rFonts w:ascii="Symbol" w:hAnsi="Symbol" w:hint="default"/>
      </w:rPr>
    </w:lvl>
    <w:lvl w:ilvl="7" w:tplc="FD96ED56">
      <w:start w:val="1"/>
      <w:numFmt w:val="bullet"/>
      <w:lvlText w:val="o"/>
      <w:lvlJc w:val="left"/>
      <w:pPr>
        <w:ind w:left="5760" w:hanging="360"/>
      </w:pPr>
      <w:rPr>
        <w:rFonts w:ascii="Courier New" w:hAnsi="Courier New" w:hint="default"/>
      </w:rPr>
    </w:lvl>
    <w:lvl w:ilvl="8" w:tplc="994463AE">
      <w:start w:val="1"/>
      <w:numFmt w:val="bullet"/>
      <w:lvlText w:val=""/>
      <w:lvlJc w:val="left"/>
      <w:pPr>
        <w:ind w:left="6480" w:hanging="360"/>
      </w:pPr>
      <w:rPr>
        <w:rFonts w:ascii="Wingdings" w:hAnsi="Wingdings" w:hint="default"/>
      </w:rPr>
    </w:lvl>
  </w:abstractNum>
  <w:abstractNum w:abstractNumId="10" w15:restartNumberingAfterBreak="0">
    <w:nsid w:val="75453191"/>
    <w:multiLevelType w:val="multilevel"/>
    <w:tmpl w:val="6A4C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7"/>
  </w:num>
  <w:num w:numId="4">
    <w:abstractNumId w:val="0"/>
  </w:num>
  <w:num w:numId="5">
    <w:abstractNumId w:val="4"/>
  </w:num>
  <w:num w:numId="6">
    <w:abstractNumId w:val="10"/>
  </w:num>
  <w:num w:numId="7">
    <w:abstractNumId w:val="8"/>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HkoYmhuZGJhZmpko6SsGpxcWZ+XkgBca1AKswxNcsAAAA"/>
  </w:docVars>
  <w:rsids>
    <w:rsidRoot w:val="6D10AD56"/>
    <w:rsid w:val="00034DF3"/>
    <w:rsid w:val="0004512F"/>
    <w:rsid w:val="0008746C"/>
    <w:rsid w:val="000A2D98"/>
    <w:rsid w:val="000D11D4"/>
    <w:rsid w:val="00107215"/>
    <w:rsid w:val="00110AD7"/>
    <w:rsid w:val="00110D32"/>
    <w:rsid w:val="00112823"/>
    <w:rsid w:val="00112E51"/>
    <w:rsid w:val="001218CA"/>
    <w:rsid w:val="00134BC8"/>
    <w:rsid w:val="00143890"/>
    <w:rsid w:val="00184B69"/>
    <w:rsid w:val="00191DBA"/>
    <w:rsid w:val="001B0AA8"/>
    <w:rsid w:val="001D305C"/>
    <w:rsid w:val="001D54CA"/>
    <w:rsid w:val="001E1D3A"/>
    <w:rsid w:val="001E75C8"/>
    <w:rsid w:val="001F40CF"/>
    <w:rsid w:val="001F4D54"/>
    <w:rsid w:val="00206757"/>
    <w:rsid w:val="0021093E"/>
    <w:rsid w:val="00230305"/>
    <w:rsid w:val="00232BDE"/>
    <w:rsid w:val="002459D8"/>
    <w:rsid w:val="0026288B"/>
    <w:rsid w:val="00275632"/>
    <w:rsid w:val="002923FA"/>
    <w:rsid w:val="0029538C"/>
    <w:rsid w:val="002A541F"/>
    <w:rsid w:val="002B6A35"/>
    <w:rsid w:val="002C0E0A"/>
    <w:rsid w:val="002F522C"/>
    <w:rsid w:val="0032186D"/>
    <w:rsid w:val="00331425"/>
    <w:rsid w:val="00352799"/>
    <w:rsid w:val="00361121"/>
    <w:rsid w:val="003703EF"/>
    <w:rsid w:val="003841D7"/>
    <w:rsid w:val="0038506B"/>
    <w:rsid w:val="003C04A0"/>
    <w:rsid w:val="003C5E4B"/>
    <w:rsid w:val="003C7DD3"/>
    <w:rsid w:val="003E0800"/>
    <w:rsid w:val="004215D4"/>
    <w:rsid w:val="0042235E"/>
    <w:rsid w:val="0042268D"/>
    <w:rsid w:val="00426DBC"/>
    <w:rsid w:val="0043784B"/>
    <w:rsid w:val="00453AC9"/>
    <w:rsid w:val="00462896"/>
    <w:rsid w:val="00494034"/>
    <w:rsid w:val="004951E3"/>
    <w:rsid w:val="004B03EC"/>
    <w:rsid w:val="004D1F00"/>
    <w:rsid w:val="004E38A2"/>
    <w:rsid w:val="004F423A"/>
    <w:rsid w:val="0050191F"/>
    <w:rsid w:val="00521D49"/>
    <w:rsid w:val="00550C61"/>
    <w:rsid w:val="0055312F"/>
    <w:rsid w:val="00553E22"/>
    <w:rsid w:val="00566212"/>
    <w:rsid w:val="00575685"/>
    <w:rsid w:val="00575A93"/>
    <w:rsid w:val="005836BC"/>
    <w:rsid w:val="005A0554"/>
    <w:rsid w:val="005C1D8B"/>
    <w:rsid w:val="005C623E"/>
    <w:rsid w:val="005D3C13"/>
    <w:rsid w:val="00617E74"/>
    <w:rsid w:val="00623F13"/>
    <w:rsid w:val="00643047"/>
    <w:rsid w:val="00651135"/>
    <w:rsid w:val="00651D6A"/>
    <w:rsid w:val="00665288"/>
    <w:rsid w:val="00674AC5"/>
    <w:rsid w:val="00677993"/>
    <w:rsid w:val="006A6BA5"/>
    <w:rsid w:val="00706547"/>
    <w:rsid w:val="00722B02"/>
    <w:rsid w:val="00726890"/>
    <w:rsid w:val="007466F9"/>
    <w:rsid w:val="00757942"/>
    <w:rsid w:val="007617DC"/>
    <w:rsid w:val="00767455"/>
    <w:rsid w:val="00777A4C"/>
    <w:rsid w:val="007A0930"/>
    <w:rsid w:val="007D1D45"/>
    <w:rsid w:val="007D1E35"/>
    <w:rsid w:val="007E302F"/>
    <w:rsid w:val="0080151C"/>
    <w:rsid w:val="00801BE6"/>
    <w:rsid w:val="008026B3"/>
    <w:rsid w:val="008075EC"/>
    <w:rsid w:val="008348BD"/>
    <w:rsid w:val="00857A8C"/>
    <w:rsid w:val="00870610"/>
    <w:rsid w:val="008770BD"/>
    <w:rsid w:val="00895CF8"/>
    <w:rsid w:val="008A34DB"/>
    <w:rsid w:val="008A3F84"/>
    <w:rsid w:val="008B484C"/>
    <w:rsid w:val="008B7375"/>
    <w:rsid w:val="008D2DA1"/>
    <w:rsid w:val="008D4E91"/>
    <w:rsid w:val="0090758E"/>
    <w:rsid w:val="0092094C"/>
    <w:rsid w:val="00921B90"/>
    <w:rsid w:val="00933B23"/>
    <w:rsid w:val="00953335"/>
    <w:rsid w:val="00970CA5"/>
    <w:rsid w:val="00975FD1"/>
    <w:rsid w:val="009A2FF5"/>
    <w:rsid w:val="009A5D9E"/>
    <w:rsid w:val="009A64CA"/>
    <w:rsid w:val="009A69D2"/>
    <w:rsid w:val="009B04ED"/>
    <w:rsid w:val="009C1D9F"/>
    <w:rsid w:val="009D4BE4"/>
    <w:rsid w:val="009E5FD7"/>
    <w:rsid w:val="009E753D"/>
    <w:rsid w:val="00A5592D"/>
    <w:rsid w:val="00A77F5F"/>
    <w:rsid w:val="00AD7C9D"/>
    <w:rsid w:val="00B0236A"/>
    <w:rsid w:val="00B038DD"/>
    <w:rsid w:val="00B11729"/>
    <w:rsid w:val="00B21DDF"/>
    <w:rsid w:val="00B46792"/>
    <w:rsid w:val="00B6026C"/>
    <w:rsid w:val="00B704BB"/>
    <w:rsid w:val="00B87231"/>
    <w:rsid w:val="00B8774F"/>
    <w:rsid w:val="00B95AFE"/>
    <w:rsid w:val="00BC12B2"/>
    <w:rsid w:val="00BC3625"/>
    <w:rsid w:val="00BD5E16"/>
    <w:rsid w:val="00BE39E6"/>
    <w:rsid w:val="00BE3F6B"/>
    <w:rsid w:val="00C00EA4"/>
    <w:rsid w:val="00C06FAE"/>
    <w:rsid w:val="00C313D1"/>
    <w:rsid w:val="00C443AB"/>
    <w:rsid w:val="00C6154A"/>
    <w:rsid w:val="00C77075"/>
    <w:rsid w:val="00C87B33"/>
    <w:rsid w:val="00CB3C3E"/>
    <w:rsid w:val="00CC68A0"/>
    <w:rsid w:val="00D52D04"/>
    <w:rsid w:val="00D814F9"/>
    <w:rsid w:val="00DA3A48"/>
    <w:rsid w:val="00DA5D0C"/>
    <w:rsid w:val="00DB268F"/>
    <w:rsid w:val="00DB5EE1"/>
    <w:rsid w:val="00E0415D"/>
    <w:rsid w:val="00E07CFB"/>
    <w:rsid w:val="00E46D2C"/>
    <w:rsid w:val="00E50CCB"/>
    <w:rsid w:val="00E54B3D"/>
    <w:rsid w:val="00E61546"/>
    <w:rsid w:val="00E82237"/>
    <w:rsid w:val="00E95274"/>
    <w:rsid w:val="00EA71A0"/>
    <w:rsid w:val="00EC0C8E"/>
    <w:rsid w:val="00ED06CC"/>
    <w:rsid w:val="00ED203F"/>
    <w:rsid w:val="00EF69AF"/>
    <w:rsid w:val="00F30F2F"/>
    <w:rsid w:val="00F451D1"/>
    <w:rsid w:val="00F46811"/>
    <w:rsid w:val="00F60157"/>
    <w:rsid w:val="00F64B98"/>
    <w:rsid w:val="00F6731B"/>
    <w:rsid w:val="00F80318"/>
    <w:rsid w:val="00FA57DC"/>
    <w:rsid w:val="00FB3D03"/>
    <w:rsid w:val="00FC3FEB"/>
    <w:rsid w:val="00FD666D"/>
    <w:rsid w:val="00FE7392"/>
    <w:rsid w:val="041A94DB"/>
    <w:rsid w:val="04C48121"/>
    <w:rsid w:val="33616B5C"/>
    <w:rsid w:val="38036C39"/>
    <w:rsid w:val="4CD7732E"/>
    <w:rsid w:val="5418A30F"/>
    <w:rsid w:val="6B64D5B1"/>
    <w:rsid w:val="6D10A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0AD56"/>
  <w15:docId w15:val="{7D36DC9C-BA76-452D-9D3F-87B1F7CF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7D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PageNumber">
    <w:name w:val="page number"/>
    <w:basedOn w:val="DefaultParagraphFont"/>
    <w:uiPriority w:val="99"/>
    <w:semiHidden/>
    <w:unhideWhenUsed/>
    <w:rsid w:val="0092094C"/>
  </w:style>
  <w:style w:type="character" w:styleId="CommentReference">
    <w:name w:val="annotation reference"/>
    <w:basedOn w:val="DefaultParagraphFont"/>
    <w:uiPriority w:val="99"/>
    <w:semiHidden/>
    <w:unhideWhenUsed/>
    <w:rsid w:val="0092094C"/>
    <w:rPr>
      <w:sz w:val="18"/>
      <w:szCs w:val="18"/>
    </w:rPr>
  </w:style>
  <w:style w:type="paragraph" w:styleId="CommentText">
    <w:name w:val="annotation text"/>
    <w:basedOn w:val="Normal"/>
    <w:link w:val="CommentTextChar"/>
    <w:uiPriority w:val="99"/>
    <w:semiHidden/>
    <w:unhideWhenUsed/>
    <w:rsid w:val="0092094C"/>
    <w:pPr>
      <w:spacing w:line="240" w:lineRule="auto"/>
    </w:pPr>
    <w:rPr>
      <w:sz w:val="24"/>
      <w:szCs w:val="24"/>
    </w:rPr>
  </w:style>
  <w:style w:type="character" w:customStyle="1" w:styleId="CommentTextChar">
    <w:name w:val="Comment Text Char"/>
    <w:basedOn w:val="DefaultParagraphFont"/>
    <w:link w:val="CommentText"/>
    <w:uiPriority w:val="99"/>
    <w:semiHidden/>
    <w:rsid w:val="0092094C"/>
    <w:rPr>
      <w:sz w:val="24"/>
      <w:szCs w:val="24"/>
    </w:rPr>
  </w:style>
  <w:style w:type="paragraph" w:styleId="CommentSubject">
    <w:name w:val="annotation subject"/>
    <w:basedOn w:val="CommentText"/>
    <w:next w:val="CommentText"/>
    <w:link w:val="CommentSubjectChar"/>
    <w:uiPriority w:val="99"/>
    <w:semiHidden/>
    <w:unhideWhenUsed/>
    <w:rsid w:val="0092094C"/>
    <w:rPr>
      <w:b/>
      <w:bCs/>
      <w:sz w:val="20"/>
      <w:szCs w:val="20"/>
    </w:rPr>
  </w:style>
  <w:style w:type="character" w:customStyle="1" w:styleId="CommentSubjectChar">
    <w:name w:val="Comment Subject Char"/>
    <w:basedOn w:val="CommentTextChar"/>
    <w:link w:val="CommentSubject"/>
    <w:uiPriority w:val="99"/>
    <w:semiHidden/>
    <w:rsid w:val="0092094C"/>
    <w:rPr>
      <w:b/>
      <w:bCs/>
      <w:sz w:val="20"/>
      <w:szCs w:val="20"/>
    </w:rPr>
  </w:style>
  <w:style w:type="paragraph" w:styleId="BalloonText">
    <w:name w:val="Balloon Text"/>
    <w:basedOn w:val="Normal"/>
    <w:link w:val="BalloonTextChar"/>
    <w:uiPriority w:val="99"/>
    <w:semiHidden/>
    <w:unhideWhenUsed/>
    <w:rsid w:val="009209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94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2094C"/>
    <w:rPr>
      <w:color w:val="954F72" w:themeColor="followedHyperlink"/>
      <w:u w:val="single"/>
    </w:rPr>
  </w:style>
  <w:style w:type="paragraph" w:styleId="ListBullet">
    <w:name w:val="List Bullet"/>
    <w:basedOn w:val="Normal"/>
    <w:uiPriority w:val="99"/>
    <w:unhideWhenUsed/>
    <w:rsid w:val="009A2FF5"/>
    <w:pPr>
      <w:numPr>
        <w:numId w:val="4"/>
      </w:numPr>
      <w:contextualSpacing/>
    </w:pPr>
  </w:style>
  <w:style w:type="paragraph" w:styleId="Revision">
    <w:name w:val="Revision"/>
    <w:hidden/>
    <w:uiPriority w:val="99"/>
    <w:semiHidden/>
    <w:rsid w:val="00134BC8"/>
    <w:pPr>
      <w:spacing w:after="0" w:line="240" w:lineRule="auto"/>
    </w:pPr>
  </w:style>
  <w:style w:type="paragraph" w:customStyle="1" w:styleId="Default">
    <w:name w:val="Default"/>
    <w:rsid w:val="00B6026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A5D9E"/>
    <w:rPr>
      <w:color w:val="605E5C"/>
      <w:shd w:val="clear" w:color="auto" w:fill="E1DFDD"/>
    </w:rPr>
  </w:style>
  <w:style w:type="paragraph" w:customStyle="1" w:styleId="FootnoteText1">
    <w:name w:val="Footnote Text1"/>
    <w:basedOn w:val="Normal"/>
    <w:next w:val="FootnoteText"/>
    <w:uiPriority w:val="99"/>
    <w:semiHidden/>
    <w:unhideWhenUsed/>
    <w:rsid w:val="00757942"/>
    <w:pPr>
      <w:spacing w:after="0" w:line="240" w:lineRule="auto"/>
    </w:pPr>
    <w:rPr>
      <w:rFonts w:ascii="Cambria" w:eastAsia="MS Mincho" w:hAnsi="Cambria" w:cs="Times New Roman"/>
      <w:sz w:val="20"/>
      <w:szCs w:val="20"/>
    </w:rPr>
  </w:style>
  <w:style w:type="character" w:customStyle="1" w:styleId="Heading3Char">
    <w:name w:val="Heading 3 Char"/>
    <w:basedOn w:val="DefaultParagraphFont"/>
    <w:link w:val="Heading3"/>
    <w:uiPriority w:val="9"/>
    <w:rsid w:val="003C7DD3"/>
    <w:rPr>
      <w:rFonts w:ascii="Times New Roman" w:eastAsia="Times New Roman" w:hAnsi="Times New Roman" w:cs="Times New Roman"/>
      <w:b/>
      <w:bCs/>
      <w:sz w:val="27"/>
      <w:szCs w:val="27"/>
    </w:rPr>
  </w:style>
  <w:style w:type="paragraph" w:styleId="NormalWeb">
    <w:name w:val="Normal (Web)"/>
    <w:basedOn w:val="Normal"/>
    <w:uiPriority w:val="99"/>
    <w:unhideWhenUsed/>
    <w:rsid w:val="003C7D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801">
      <w:bodyDiv w:val="1"/>
      <w:marLeft w:val="0"/>
      <w:marRight w:val="0"/>
      <w:marTop w:val="0"/>
      <w:marBottom w:val="0"/>
      <w:divBdr>
        <w:top w:val="none" w:sz="0" w:space="0" w:color="auto"/>
        <w:left w:val="none" w:sz="0" w:space="0" w:color="auto"/>
        <w:bottom w:val="none" w:sz="0" w:space="0" w:color="auto"/>
        <w:right w:val="none" w:sz="0" w:space="0" w:color="auto"/>
      </w:divBdr>
    </w:div>
    <w:div w:id="244463180">
      <w:bodyDiv w:val="1"/>
      <w:marLeft w:val="0"/>
      <w:marRight w:val="0"/>
      <w:marTop w:val="0"/>
      <w:marBottom w:val="0"/>
      <w:divBdr>
        <w:top w:val="none" w:sz="0" w:space="0" w:color="auto"/>
        <w:left w:val="none" w:sz="0" w:space="0" w:color="auto"/>
        <w:bottom w:val="none" w:sz="0" w:space="0" w:color="auto"/>
        <w:right w:val="none" w:sz="0" w:space="0" w:color="auto"/>
      </w:divBdr>
    </w:div>
    <w:div w:id="1183057355">
      <w:bodyDiv w:val="1"/>
      <w:marLeft w:val="0"/>
      <w:marRight w:val="0"/>
      <w:marTop w:val="0"/>
      <w:marBottom w:val="0"/>
      <w:divBdr>
        <w:top w:val="none" w:sz="0" w:space="0" w:color="auto"/>
        <w:left w:val="none" w:sz="0" w:space="0" w:color="auto"/>
        <w:bottom w:val="none" w:sz="0" w:space="0" w:color="auto"/>
        <w:right w:val="none" w:sz="0" w:space="0" w:color="auto"/>
      </w:divBdr>
    </w:div>
    <w:div w:id="1607079115">
      <w:bodyDiv w:val="1"/>
      <w:marLeft w:val="0"/>
      <w:marRight w:val="0"/>
      <w:marTop w:val="0"/>
      <w:marBottom w:val="0"/>
      <w:divBdr>
        <w:top w:val="none" w:sz="0" w:space="0" w:color="auto"/>
        <w:left w:val="none" w:sz="0" w:space="0" w:color="auto"/>
        <w:bottom w:val="none" w:sz="0" w:space="0" w:color="auto"/>
        <w:right w:val="none" w:sz="0" w:space="0" w:color="auto"/>
      </w:divBdr>
    </w:div>
    <w:div w:id="17541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USCIS-2010-0012-00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ban.org/sites/default/files/publication/32706/412899-The-Negative-Effects-of-Instability-on-Child-Development-A-Research-Synthesi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iatrics.aappublications.org/content/141/2/e201721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arriaga@nlihc.org" TargetMode="External"/><Relationship Id="rId4" Type="http://schemas.openxmlformats.org/officeDocument/2006/relationships/settings" Target="settings.xml"/><Relationship Id="rId9" Type="http://schemas.openxmlformats.org/officeDocument/2006/relationships/hyperlink" Target="mailto:kwalz@nhlp.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ber.org/papers/w22721" TargetMode="External"/><Relationship Id="rId3" Type="http://schemas.openxmlformats.org/officeDocument/2006/relationships/hyperlink" Target="http://www.childrensdefense.org/library/PovertyReport/assets/ReducingChildPovertyintheUSCostsandImpactsofPol%20iciesProposedbytheChildrensDefenseFund.pdf." TargetMode="External"/><Relationship Id="rId7" Type="http://schemas.openxmlformats.org/officeDocument/2006/relationships/hyperlink" Target="https://www.census.gov/content/dam/Census/library/publications/2021/demo/p60-275.pdf" TargetMode="External"/><Relationship Id="rId2" Type="http://schemas.openxmlformats.org/officeDocument/2006/relationships/hyperlink" Target="https://www.cbpp.org/research/research-shows-housing-vouchers-reduce-hardship-and-provide-platform-for-longterm-gains" TargetMode="External"/><Relationship Id="rId1" Type="http://schemas.openxmlformats.org/officeDocument/2006/relationships/hyperlink" Target="http://pediatrics.aappublications.org/content/141/2/e20172199" TargetMode="External"/><Relationship Id="rId6" Type="http://schemas.openxmlformats.org/officeDocument/2006/relationships/hyperlink" Target="https://www.cbpp.org/research/housing/national-and-state-housing-fact-sheets-data" TargetMode="External"/><Relationship Id="rId5" Type="http://schemas.openxmlformats.org/officeDocument/2006/relationships/hyperlink" Target="https://www.cbpp.org/research/poverty-and-inequality/chart-book-economic-security-and-health-insurance-programs-reduce" TargetMode="External"/><Relationship Id="rId4" Type="http://schemas.openxmlformats.org/officeDocument/2006/relationships/hyperlink" Target="https://www.urban.org/sites/default/files/publication/32706/412899-The-Negative-Effects-of-Instability-on-Child-Development-A-Research-Synthe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6683DD-B1FC-48E9-A4DF-D8491AF0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Cook-Thajudeen</dc:creator>
  <cp:lastModifiedBy>Xavier Arriaga</cp:lastModifiedBy>
  <cp:revision>2</cp:revision>
  <cp:lastPrinted>2018-10-31T16:37:00Z</cp:lastPrinted>
  <dcterms:created xsi:type="dcterms:W3CDTF">2021-10-14T19:35:00Z</dcterms:created>
  <dcterms:modified xsi:type="dcterms:W3CDTF">2021-10-14T19:35:00Z</dcterms:modified>
</cp:coreProperties>
</file>